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1167-2013, promovido por don Adolfo Córdoba Vargas, representado por el Procurador de los Tribunales don José Fernando Lozano Moreno y asistido por el Abogado don José Javier García Oliver, contra el Auto de la Audiencia Provincial de Baleares (Sección Segunda) de 22 de enero de 2013, que no admitió a trámite el incidente de nulidad de actuaciones promovido frente a la Sentencia de 13 de noviembre de 2012, dictada en el rollo de apelación núm. 373-2011, que revocó parcialmente la Sentencia del Juzgado de lo Penal núm. 6 de Palma de Mallorca de 14 de julio de 2011, dictada en el procedimiento abreviado núm. 23-2011, condenando al recurrente como autor de un delito de robo con violencia o intimidación y una falta de lesiones. Ha intervenido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7 de junio de 2013, el Procurador de los Tribunales don José Fernando Lozano Moreno, en nombre y representación de don Adolfo Córdoba Vargas, interpuso recurso de amparo contra las resoluciones judiciales que se citan en el encabezamiento. Por otrosí solicitó la suspensión de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por Sentencia del Juzgado de lo Penal núm. 6 de Palma de Mallorca de 14 de julio de 2011, dictada en el procedimiento abreviado núm. 23-2011, como autor de un delito de robo con violencia o intimidación [arts. 237 y 242.1 del Código penal (CP)], de un delito de robo con fuerza (arts. 237, 238.5 y 239 CP) y de una falta de maltrato de obra (art. 617 CP), con la concurrencia respecto a los delitos de robo de la circunstancia agravante de reincidencia del art. 22.8 CP y la circunstancia atenuante de drogadicción del art. 21.2 CP en relación con el art. 20.2 CP, a las penas de un año y dos meses de prisión, con la accesoria legal de inhabilitación especial para el ejercicio del derecho de sufragio pasivo durante el tiempo de la condena, por cada uno de los delitos de robo, y a la pena de dos días de localización permanente por la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hechos probados refieren que el acusado, sobre las 20:30 horas del día 26 de septiembre de 2.009 y con ánimo de enriquecimiento ilícito, abordó por la espalda a la víctima en la calle “y, cogiéndole su cartilla, le dijo ‘necesito 20,00 euros para quitarme el mono’, accediendo ella a lo anterior por temor, acudiendo a diversos cajeros … no logrando sacar dinero, motivo por el cual el acusado finalmente se abalanzó [sobre la víctima], arrebatándole así la cartilla, extrayendo posteriormente la suma de 500,00 euros, dado que había antes descubierto el número PIN de la referida cartilla”.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primero se califican jurídicamente los hechos como un delito de robo con violencia o intimidación del art. 242.3 CP, de una falta de maltrato de obra del art. 617.2 CP y de un delito de robo con fuerza de los arts. 238.5 y 239 CP. La Juzgadora razona que los hechos son constitutivos del delito de robo con violencia o intimidación del art. 242.3 CP (en su redacción previa a la reforma introducida por la Ley Orgánica 5/2010), “atendida la intimidación ejercida primero y la violencia, con empujón, empleada después, de modo que el estado de temor y de limitación de la libertad para la perjudicada presidió toda la escena, y fue ese y no otro el motivo de que primero accediese a la introducción de la libreta, arrebatándosela finalmente el acusado haciendo uso de violencia, dejándola tirada en plena vía pública”, “sin perjuicio de que, atendida la falta de parte objetivo de lesiones que acredite su entidad, considere que los hechos debe[n] quedar incardinados en el artículo 242, apartado 3 CP”. En el fundamento jurídico 3, tras constatar que concurre respecto a los delitos de robo una circunstancia agravante (reincidencia) y una circunstancia atenuante (drogadicción), se motiva la individualización de la pena como sigue: “en atención a lo dispuesto en los artículos 242.3 y 66.1.6 CP, considerando que no son irrelevantes las circunstancias personales del delincuente y que no son de especial gravedad las del hecho, considero que procede imponer, por el primer delito, la pena de un año y dos meses de prisión, por la falta, la de localización permanente de dos días y, por el segundo delito, la de un año y dos meses de prisión, en ambos casos con la accesoria de inhabilitación especial para el derecho de sufragio pasivo durante el mismo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defensa del recurrente interpuso recurso de apelación planteando (i) la nulidad de actuaciones; (ii) en su defecto, la vulneración del derecho a la presunción de inocencia; (iii) y, con carácter subsidiario a los dos motivos anteriores, la aplicación indebida del delito de robo con fuerza, al estimar que debía quedar absorbido por el delito de robo con violencia o intimidación por el que ha sido condenado por cuanto “no pueden diferenciarse las dos acciones de la sustracción de la cartilla y la extracción del dinero como si de dos hechos diferentes y relevantes penalmente se trataran”. En el suplico se consigna de forma subsidiaria que se acuerde “estimar el motivo tercero del recurso de apelación, anulando la condena del Sr. Córdoba por el delito de robo con fuerza, manteniendo la condena por el delito de robo con violencia o intimidación y la falta de maltrato de obras, en los términos referidos en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escrito de 24 de octubre de 2011, impugna el recurso de apelación “y dice que procede la confirmación de la Sentencia recurrida por sus propios fundamentos y recoger la petición de este Ministerio, si bien modifica la extensión de la pena, introduciendo una circunstancia atenuante, extremo al que no tenemos nada que objetar”.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tramitado con el núm. de rollo 373-2011 por la Sección Segunda de la Audiencia Provincial de Baleares y se estimó parcialmente por Sentencia de 13 de noviembre de 2012, que condenó al ahora demandante de amparo como autor un delito de robo con violencia o intimidación, con la concurrencia de las circunstancias agravante de reincidencia y atenuante de drogadicción, a la pena de dos años y cuatro meses de prisión e inhabilitación especial para el ejercicio del derecho de sufragio pasivo durante el tiempo de la condena, dejando inalterados el resto de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rechazar los motivos de nulidad del procedimiento y de lesión del derecho a la presunción de inocencia, la Sentencia aquí impugnada dice en el fundamento jurídico segundo: “Distinta suerte debe correr sin embargo el motivo relativo a la incorrecta calificación jurídica de los hechos por cuanto esta Sala considera que en el proceder del sujeto activo se aprecia una progresión delictiva que nos debe llevar a entender producido lo que, en términos jurídicos, sería una única acción, por la proximidad temporal y espacial en la que fueron perpetrados, primero, el robo con violencia de la cartilla bancaria y después, las dos sustracciones de dinero previa introducción del número PIN en distintos cajeros automáticos, tanto esa misma noche y como al día siguiente, teniendo la acción un mismo sujeto pasivo y finalidad criminal consistente en el apoderamiento del dinero de la denunciante, no obstante lo cual debe permanecer inalterada la pena global de PRISIÓN recaída en la sentencia de DOS AÑOS Y CUATRO MESES, en la medida en que los referidos hechos se encuentran castigados en el artículo 242 del Código Penal con la pena de prisión de dos a cinco años, habiendo quedado aquélla concretada en términos de razonabilidad, tal y como exige el artículo 66.7 del Código Penal cuando, como sucede en el caso de Autos, concurren agravantes y atenuantes … sin que la pena pueda ser rebajada en un grado como pretende la defensa por aplicación del subtipo atenuado del artículo 242.3 toda vez que la violencia o intimidación ejercida sobre la víctima, que fue llevada a varios cajeros para intentar sacar dinero obligada por una persona que sufría un síndrome de abstinencia, no puede recibir la consideración de menor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recurrente interpuso incidente de nulidad de actuaciones contra la Sentencia de la Audiencia Provincial por vulneración del derecho fundamental a la tutela judicial efectiva, en su vertiente de no padecer una reforma peyorativa.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incidente de nulidad fue inadmitido por la Sección Segunda de la Audiencia Provincial de Baleares por providencia de 16 de enero de 2013 y luego por Auto de 22 de enero de 2013, con idéntica motivación en ambas resoluciones: “toda vez que los motivos aducidos al efecto no son causa de nulidad de actuaciones sino en cualquier caso de recurso de amparo para cuyo acceso no es preceptivo agotar el previo incidente de nulidad, además de no ajustarse los argumentos de la defensa a los términos de lo dictaminado en sentencia, en la que el tipo de robo con violencia o intimidación por el que resultó condenado el encausado, fue el básico del 242.1 y no el de menor entidad del párrafo tercero del precepto penal de referencia, de modo que la pena impuesta en sentencia ha sido determinada conforme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 vulnerado su derecho a la tutela judicial efectiva reconocido en el art. 24.1 CE, en su vertiente de no padecer una reforma peyorativa, para lo que invoca la doctrina de este Tribunal con cita de las SSTC 84/1985, de 8 de julio, y 126/2010,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tras esas referencias, describe la actuación de la Audiencia Provincial, que estimó el motivo del recurso en el sentido de entender que los hechos son constitutivos de un solo delito de robo con violencia o intimidación, pero aplicó el tipo básico previsto en el art. 242.1 CP y no la modalidad atenuada del art. 242.3 CP que había aplicado la Juzgadora e impuso una pena por tal delito de dos años y cuatro meses de prisión cuando la pena en instancia, conforme al art. 242.3 CP, se fijó en un año y dos meses de prisión. Concluye que “el Juzgado consideró aplicable el subtipo atenuado que en segunda instancia se niega, lo que supone una agravación de la situación del recurrente producida por su propio recurso, ya que el Ministerio Fiscal no impugnó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recuerda que la aplicación del tipo atenuado fue decisión de la Sentencia de instancia, pues, aunque no se refleje así en el fallo, a él se apela en el fundamento tercero al individualizar la pena, que sólo desde su aplicación se entiende, pues, una vez compensadas las circunstancias modificativas de reincidencia y drogadicción, la pena mínima prevista en el tipo básico del art. 242.1 CP sería de dos años, mientras que la Juzgadora impuso la pena de un año y dos meses de prisión que corresponde al marco penal del tipo atenuado del art. 242.3 CP —uno a dos años de prisión como pena inferior en grado a la del tipo básico—. Puntualiza el demandante, con cita de la STC 203/2007, que no se sostiene el argumento de que no hay un empeoramiento en tanto que la pena global se mantiene, pues se ha revisado de oficio la aplicación de la atenuación penal cuando el único recurrente —él mismo— solicitaba su mantenimiento.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10 de junio de 2014, acordó admitir a trámite la demanda de amparo y, en aplicación de lo dispuesto en el art. 51 LOTC, requerir atentamente de los órganos judiciales la remisión del testimonio de las actuaciones y el emplazamiento de quienes hubieran sido parte en el procedimiento, a excepción del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acordó la formación de pieza separada de suspensión. Por Auto de 21 de julio de 2014 la Sala Segunda de este Tribunal acordó denegar la suspensión de la ejecución de la pena privativa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Segunda de este Tribunal, por diligencia de 1 de septiembre de 2014, acordó dar vista de las actuaciones a la parte recurrente y al Ministerio Fiscal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escrito registrado el 24 de septiembre de 2014, presentó alegaciones ratificando las expuestas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el 29 de septiembre de 2014, interesó que se otorgara el amparo por vulneración del derecho a la tutela judicial efectiva y del principio acusatorio (arts. 24.1 y 2 CE), con anulación de las resoluciones impugnadas y retroacción de las actuaciones al momento inmediatamente anterior al dictado de la Sentencia de la Audiencia Provincial a fin de que se dicte nueva sentencia respetuosa con los derechos fundamentales del demandante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una amplia exposición de los antecedentes, del contenido de la demanda de amparo y de las argumentaciones de las distintas resoluciones judiciales, el Ministerio Fiscal expone la doctrina de este Tribunal Constitucional sobre la prohibición de reforma peyorativa en materia de recursos con relación a los derechos a la tutela judicial efectiva y a un proceso con todas las garantías (principio acusatorio), con cita de la STC 126/2010, FJ 3, invocada en el recurso, y de la STC 133/2014, FJ 7. A la luz de tales elementos defiende que procede el otorgamiento del amparo, al ser ciertos tanto los hechos como las argumentaciones jurídicas en que se sustenta la demanda. En particular, considera el Ministerio Fiscal que la Sección Segunda de la Audiencia Provincial de Baleares se atuvo para doblar la extensión de la pena impuesta en la instancia por el delito de robo con violencia o intimidación a que en el fallo de la Sentencia de instancia se omitió toda referencia al tipo atenuado del art. 242.3 CP; pero —contrapone— con ello obvió tanto que la Magistrada de lo Penal en el fundamento jurídico 3 afirmó de modo rotundo y motivado que el tipo aplicable era el tipo atenuado del art. 242.3 CP, como que sólo esa aplicación explica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 premisa, fija como situación de partida que el Tribunal de apelación condenó al demandante como autor del tipo básico del delito de robo con violencia o intimidación cuando en la sentencia de instancia se le había considerado autor de un delito de robo con violencia o intimidación atenuado, sin que la acusación pública hubiera cuestionado tal calificación jurídica ni discrepado de las circunstancias fácticas y personales del condenado tenidas en cuenta por la Juzgadora para realizar esa calificación. Ello, termina afirmando el Ministerio Fiscal, supone que “el ahora demandante vio modificada la calificación jurídica de los hechos por los que había sido condenado, lo que le supuso que la pena privativa de libertad impuesta fuese el doble de la que se le había impuesto por el Juzgado de lo Penal, sin que hubiera petición de parte acusadora, y ello con ocasión de examinar su propio recurso de apelación, lo que está vedado por los derechos fundamentales esgrimidos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29 de octubre de 2015, se señaló para deliberación y votación de la presente Sentencia el día 2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recurso de amparo la Sentencia de la Audiencia Provincial de Baleares (Sección Segunda) de 13 de noviembre de 2012 (rollo de apelación núm. 373-2011), que revocó parcialmente la Sentencia del Juzgado de lo Penal núm. 6 de Palma de Mallorca de 14 de julio de 2011 y condenó al demandante como autor de un delito de robo con violencia o intimidación y una falta de lesiones sin alterar la pena global impuesta por el Juzgado de lo Penal, donde también se había condenado por el delito de robo con fuerza. La impugnación se extiende al Auto de 22 de enero de 2013 dictado por la misma Sección, por el que se inadmite el incidente de nulidad de actuaciones promovido frente a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actor, con invocación de jurisprudencia constitucional, considera vulnerado su derecho a la tutela judicial efectiva en su vertiente de interdicción de reforma peyorativa en fase de recursos (art. 24.1 CE), ya que la Audiencia anuló la condena impuesta por el delito de robo con fuerza y mantuvo la condena por el delito de robo con violencia o intimidación, pero dobló la extensión de la pena impuesta por tal ilícito —un año y dos meses— hasta alcanzar la pena global impuesta en la instancia por ambos delitos —dos años y cuatro meses—, al aplicar el tipo básico del delito de robo con violencia o intimidación previsto en el art. 242.1 del Código penal (CP) y no el tipo atenuado previsto en el art. 242.3 CP (en su redacción previa a la reforma operada por la Ley Orgánica 5/2010) que había sido el aplicado en primera instancia. El Fiscal había interesado la confirmación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otorgue el amparo solicitado por entender que el Tribunal ad quem, al imponer una pena por el delito de robo con violencia o intimidación que doblaba la extensión de la recaída en primera instancia sin mediar petición del Ministerio Fiscal, que se había aquietado con la Sentencia de instancia, vulneró el derecho a la tutela judicial efectiva y el principio acusatorio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de este Tribunal Constitucional ha identificado la reformatio in peius con el empeoramiento o agravación de la situación jurídica del recurrente declarada en la resolución impugnada en virtud de su propio recurso, de modo que la decisión judicial que lo resuelve conduce a un efecto contrario al perseguido por el recurrente, cual es anular o suavizar la sanción aplicada en la resolución objeto de impugnación (entre muchas, SSTC 9/1998, de 13 de enero, FJ 2; 196/1999, de 25 de octubre, FJ 3; 203/2007, de 24 de septiembre, FJ 2, o 126/2010, de 20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las primeras resoluciones de este Tribunal se afirmó que la prohibición de la reforma peyorativa ostenta dimensión constitucional aunque no se encuentre expresamente enunciada en el art. 24 CE. De un lado, se pone el acento en que representa un principio procesal que forma parte del derecho a la tutela judicial efectiva a través del régimen de garantías legales de los recursos, que deriva en todo caso de la prohibición constitucional de indefensión (entre otras, SSTC 54/1985, de 18 de abril, FJ 7; 141/2008, de 30 de octubre, FJ 5, y 126/2010, de 29 de noviembre, FJ 3) y que, en ocasiones, se ha vinculado al principio dispositivo (STC 28/2003, de 10 de febrero, FJ 2) y al principio de rogación (STC 54/1985, FJ 7). De otro lado, se identifica la prohibición de empeoramiento como “una proyección de la congruencia en el segundo o posterior grado jurisdiccional, que impide al órgano judicial ad quem exceder los límites en que esté planteado el recurso, acordando una agravación de la sentencia impugnada que tenga origen exclusivo en la propia interposición de éste (STC 17/2000, de 31 de enero, FJ 4), pues, de admitirse que los órganos judiciales pueden modificar de oficio en perjuicio del recurrente la resolución por él impugnada, se introduciría un elemento disuasorio para el ejercicio del derecho a los recursos legalmente establecidos en la ley incompatible con la tutela judicial efectiva que vienen obligados a prestar los órganos judiciales (SSTC 114/2001, de 7 de mayo, FJ 4; 28/2003, de 10 de febrero, FJ 3)” (STC 310/2005, de 12 de diciembre,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orden penal, ese anclaje constitucional al derecho a la tutela judicial efectiva se completa en algunas resoluciones con el respaldo del principio acusatorio, de modo que la exclusión de la reformatio in peius entronca con el destierro de toda actuación inquisitiva por parte del Tribunal de segunda instancia. Conforme a esa jurisprudencia, es trasladable al recurso de apelación contra sentencias penales lo dispuesto en el art. 902 de la Ley de enjuiciamiento criminal para el recurso de casación, a fin de preservar el principio acusatorio y evitar el agravamiento de la situación del condenado apelante por su solo recurso cuando ejercita el derecho a la segunda instancia en el orden penal, que es producto de la conexión de los arts. 24.1 y 10.2 CE (SSTC 54/1985, FJ 7; 16/2000, de 31 de enero, FJ 5; 200/2000, de 24 de julio, FJ 2; 310/2005, de 12 de diciembre, FJ 2, y 141/2008, de 30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destaca también en nuestra doctrina, se agrega a la prohibición general de reforma peyorativa el nuevo matiz, constitucionalmente relevante, de la seguridad jurídica del condenado sobre la inmutabilidad de la Sentencia en su perjuicio si no media recurso de parte contraria, estando vedada la agravación de oficio aunque fuera absolutamente evidente su procedencia legal, pues las garantías constitucionales deben prevalecer sobre el principio de estricta sumisión del Juez a la ley, incluso para corregir de oficio en la alzada errores evidentes en la aplicación de la misma en la instancia (SSTC 153/1990, de 15 de octubre, FJ 5; 70/1999, de 26 de abril, FJ 8; 28/2003, de 10 de febrero, FJ 5; y 310/2005, de 12 de diciembre, FJ 2; 141/2008, de 30 de octubre, FJ 5; 124/2010, de 29 de noviembre, FJ 2, y 246/2010, de 10 de octubre, FJ 5). En otras palabras, “lo que juega, con relevancia constitucional, es la agravación del resultado que tal decisión de oficio determina, aunque fuere absolutamente evidente su procedencia legal, de suerte que queda así constitucionalizado el principio de la no reforma peyorativa y fundado no sólo en el juego del principio acusatorio sino en el de la garantía procesal derivada de una Sentencia penal no impugnada de contrario” (SSTC 153/1990, de 15 de octubre, FJ 5; 17/2000, de 31 de enero, FJ 5; 124/2010, de 29 de noviembre, FJ 2, y 246/2010, de 10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para que pueda apreciarse la existencia de reforma peyorativa, constitucionalmente prohibida, el empeoramiento de la situación del recurrente ha de resultar de su propio recurso, sin mediación de pretensión impugnatoria de otra parte, y con excepción del daño que derive de la aplicación de normas de orden público procesal (por todas, SSTC 15/1987, de 11 de febrero, FJ 4; 17/1989, de 30 de enero, FJ 7, y 70/1999, de 26 de abril, FJ 5), “cuya recta aplicación es siempre deber del Juez, con independencia de que sea o no pedida por las partes” (SSTC 214/2000, de 16 de octubre, FJ 3; 28/2003, de 10 de febrero, FJ 3; 249/2005, de 15 de noviembre, FJ 5, y 126/2010,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esa reiterada proclamación, la jurisprudencia constitucional ha ido perfilando el alcance de la interdicción de reformatio in peius de la mano de su anclaje en la prohibición de indefensión contraria a la tutela judicial efectiva (art. 24.1 CE) y el principio acusatorio en el marco del derecho a un proceso con todas las garantías (art. 24.2 CE). En concreto, en las SSTC 123/2005, de 12 de mayo; 183/2005, de 4 de julio; y 203/2007, de 24 de septiembre, se puso el acento en la distinción entre la interdicción de la reforma peyorativa y el alcance del principio acusatorio en la segunda instancia, que se modula respecto a su proyección en la primera instancia, pero encuentra su límite precisamente en el empeoramiento de la situación del recurrente con origen en su propio recurso. En las mencionadas resoluciones, este Tribunal ha defendido que lo relevante no es si existe una reformatio, sino si es in peius, y ha especificado que “los términos de comparación para ponderar si la reforma ha sido peyorativa han de ser, en el caso, las respectivas condenas: es decir, si la recaída en segunda instancia empeora la situación que establece el fallo condenatorio de la dictada por el juzgador a quo, y no la relación existente entre la pretensión absolutoria del actor recurrente y el sentido del fallo condenatorio derivado del recurso” (STC 183/2005, FJ 3; 203/2007,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ha sido precisamente admitido por su especial trascendencia constitucional en tanto que da ocasión a este Tribunal para aclarar nuestra doctrina conforme a lo previsto en la STC 155/2009, FJ 2 b), ya que se trata de un supuesto no coincidente en su totalidad con los que anteriormente han sido objeto de tratamiento en este Tribunal. El hecho de que concurran una pluralidad de delitos que dan lugar a varias penas, estimándose la apelación en términos de declarar cometido uno solo de ellos, pero manteniendo la extensión total de la pena impuesta en primera instancia, presenta rasgos de suficiente importancia como para merecer un pronunciamiento específico en cuanto a la aplicación de doctrina que ha quedado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carácter previo al análisis de fondo del caso a la luz de la jurisprudencia expuesta, conviene aclarar algunos aspectos confusos sobre las calificaciones manejadas en el procedimiento que nos ocupa y, con ello, los términos del debate y del devenir de calificaciones. Al respecto resulta oportuno recordar que el tipo básico del delito de robo con violencia o intimidación se prevé en el art. 242.1 CP, conforme al cual, “el culpable de robo con violencia o intimidación en las personas será castigado con la pena de prisión de dos a cinco años”; y que el art. 242.3 CP, en su redacción previa a la reforma introducida por la Ley Orgánica 5/2010, contenía el tipo atenuado, según el cual, “en atención a la menor entidad de la violencia o intimidación ejercidas y valorando además las restantes circunstancias del hecho, podrá imponerse la pena inferior en grado a la prevista en el apartado primero de este artículo”; es decir, la pena a imponer sería la de prisión de uno a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tal recordatorio hay que señalar, en primer lugar, que si bien en el fallo de la Sentencia del Juzgado de lo Penal se condena por un delito de robo con violencia o intimidación previsto y penado en el art. 242.1 CP, esa mención al apartado primero del art. 242 CP debe entenderse como un error material por dos razones. De un lado, porque en la justificación de la calificación jurídica por parte de la Juzgadora en el fundamento jurídico primero de la Sentencia recurrida se afirma expresamente que los hechos se incardinan en el art. 242.3 CP, dada la falta de acreditación de la entidad de las lesiones. De otro lado, porque en la motivación de la concreta pena impuesta efectuada en el fundamento jurídico tercero se cita el art. 242.3 CP para llegar a una pena que, como destacan tanto el recurrente como el Ministerio Fiscal, solo es compatible con el marco penal de ese tipo atenuado, habida cuenta de que se compensan las circunstancias modificativas concurrentes y no se mantiene una atenuación cualificada por la drogadicción que hubiera conducido a una pena inferior. Los anteriores datos evidencian que el razonamiento de la Sentencia discurre de forma acorde a la prevista en el tipo atenuado en cuanto a su marco punitivo y con explícita cita al art. 242.3 CP, sin que en ningún momento se refiera al tipo más grave del art. 242.1 CP. Lo cual el demandante puso de manifiesto a la Sala cuando planteó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esta primera puntualización resulta preciso aclarar a su vez que el escrito de impugnación del Ministerio Fiscal frente al recurso de apelación, al tiempo que solicita la confirmación de la Sentencia de condena por sus propios fundamentos, da a entender que esa Sentencia ha acogido su pretensión de que se condenara por el tipo básico del delito de robo con violencia o intimidación del art. 242.1 CP, pero añadiendo una circunstancia atenuante para rebajar la pena solicitada. Con ello, sin embargo, se aquieta sin advertir que esa rebaja obedece a que la calificación jurídica se corresponde con el tipo atenuado de robo con violencia o intimidación y no con la estimación de la atenuante de drogadicción en su forma muy cualificada, como se evidencia por la duración de la pena impuesta para el delito de robo con fuerza en las cosas respecto al cual concurría idéntica circunstancia atenuante, en su modalidad genérica.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cabe fijar que, en el presente caso y en lo que aquí interesa, la Sentencia de instancia condenó al demandante a sendas penas de un año y dos meses de prisión como autor de un delito de robo con fuerza en las cosas y de un delito de robo con violencia o intimidación en su modalidad atenuada prevista en el art. 242.3 CP. La Sentencia de apelación estimó parcialmente el recurso del condenado que denunciaba la aplicación indebida del delito de robo con fuerza, ya que los actos de apropiación formaban lo que se denomina una “unidad jurídica de acción”, dado el contexto espacio-temporal y la identidad de sujeto pasivo y finalidad criminal, lo cual impide fragmentar la concreta conducta en dos delitos distintos. Es decir, solo cabía calificar los hechos como un único delito de robo con violencia o intimidación. No obstante, la Sala impuso la pena de dos años y cuatro meses de prisión, porque calificó los hechos como un delito de robo con violencia o intimidación en su modalidad básica del art. 242.1 CP, pese a que no hubo petición de modificación de la calificación por parte del Ministerio Fiscal. Ese cambio de calificación —al estimar concurrente el supuesto del art. 242.1 CP en lugar del supuesto del art. 242.3 CP— se justificó por el Tribunal ad quem en su entendimiento de que la intimidación ejercida no podía entenderse como de menor entidad y, por tanto, no procedía su tipificación conforme al subtipo atenuado del art. 242.3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sentadas las anteriores premisas, coincidentes con lo expuesto en la demanda y en las alegaciones del Ministerio Fiscal, el acontecer procesal al que se atribuye la lesión de la prohibición de reforma peyorativa viene dado por la estimación parcial del recurso de apelación interpuesto por el condenado, que por un lado admite que es erróneo calificar los hechos como un concurso de dos delitos de robo (con violencia y con fuerza en las cosas) y acoge la solución de la unidad de acción, pero que por otro lado subsume la conducta en el marco del delito de robo más grave previsto en el art. 242.1 CP. Modificación de la subsunción típica que corrige, sin que se le haya instado a ello, la valoración que hizo el órgano jurisdiccional de instancia al estimar entonces que aquella intimidación utilizada para el robo fue de “menor entidad”.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necesidad de entrar en el debate comparativo de gravedades entre dos magnitudes penológicas diversas (dos penas de un año y dos meses frente a una pena de dos años y cuatro meses), resulta indudable que en el marco del recurso de apelación único del condenado se ha reintroducido una calificación jurídica más grave, con un marco penal de dos a cinco años de prisión en vez del marco del tipo atenuado de uno a dos años, calificación que no fue recurrida por el Ministerio Fiscal en la segunda instancia. Una calificación que conduce a imponer una pena que excede del máximo punitivo de dos años previsto en el art. 242.3 CP preterido.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en el marco de la apelación el Tribunal ad quem está limitado a ejercitar su actividad jurisdiccional sujetándose a las peticiones de los recurrentes, en el caso de un único apelante no cabe modificar la resolución recurrida en su perjuicio. Únicamente podrá confirmarla o reformarla en beneficio del apelante, pero no revocarla para empeorar su situación. En el presente caso, la Sala afirma, al final del fundamento jurídico segundo, que “la violencia o intimidación ejercida sobre la víctima, que fue llevada a varios cajeros para intentar sacar dinero obligada por una persona que sufría síndrome de abstinencia, no puede recibir la consideración de menor entidad”. A pesar de que se apele a la cuantía de la pena única impuesta en apelación respecto a las dos penas fijadas en la instancia como prueba de la ausencia de reforma peyorativa para el recurrente único, lo cierto es que hay una reformatio y es in peius. El Tribunal ad quem modifica la pena condenando a dos años y cuatro meses por un delito de robo con violencia o intimidación, a partir de la previa tipificación de los hechos en base a una nueva valoración de la entidad de la intimidación ejercida y la consiguiente subsunción de los hechos en un tipo penal más grave que contempla como pena la prisión de dos a cinco años. Tal modificación excede de la competencia del Tribunal ad quem. Como insiste la doctrina de este Tribunal más arriba citada, ni siquiera la evidencia de una errónea calificación autoriza a los órganos judiciales ante los que se recurre a optar por la calificación correcta si esta conduce a un empeoramiento de la situación de quien impugna en solitario, salvo que concurran razones de orden público procesal, que no se hallan presentes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Dados los términos en que se planteó el recurso, su estimación total o parcial debiera haber conducido a un reflejo respecto a la pena impuesta en la primera instancia. Sin embargo, la disminución de pena no se produce en este caso pese a que debiera haber sido la consecuencia lógica de la estimación del tercer motivo del recurso de apelación interpuesto por el condenado. El recurrente se encuentra tras la apelación con una calificación jurídica más grave, en una especie de retorno a la petición de la acusación en primera instancia, petición que fue entonces rechazada en sentencia y que ahora reaparece como efecto sorpresivo de su propio recurso, pues no hubo pretensión impugnatoria de la otra parte que activara aquella acusación de nuevo. En consecuencia, el recurrente no tuvo oportunidad efectiva de debatir en fase de apelación ese cambio de calificación. En conclusión, la estimación parcial del recurso, que debiera haber conducido a una rebaja de la pena, se asocia por el órgano de apelación a una respuesta penológica cuantitativamente pareja en el mejor de los casos, y que se asienta en una revisión sobre extremos valorados en la instancia, concretamente, la entidad de la violencia e intimidación, que no fueron objeto del recurso y que se consintieron por la parte que no recurrió.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definitiva, en virtud del recurso de apelación único del condenado, en que solicitaba que se le absolviera del delito de robo con fuerza en las cosas y se mantuviera sólo la condena por un único delito de robo con violencia o intimidación atenuado (art. 242.3 CP), el apelante resultó condenado por el tipo básico del delito de robo con violencia o intimidación (art. 242.1 CP) con una pena que doblaba la inicialmente impuesta. Ello supone una agravación de la calificación jurídica en segunda instancia no solicitada por los acusadores que lesiona la interdicción de reforma peyorativa como parte del derecho a la tutela judicial efectiva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Adolfo Córdoba Vargas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del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 la Audiencia Provincial de Baleares (Sección Segunda) de 13 de noviembre de 2012, dictada en el rollo de apelación núm. 373-2011, así como del Auto de 22 de enero de 2013 que resolvió del incidente de nulidad promovido contra dicha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