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ba auto de la Sala de lo Contencioso-Administrativo del Tribunal Supremo en recurso de casación 6137-2010, contra la Sentencia dictada por la Audiencia Nacional en recurso 265-2008. El recurso fue inadmitido por providencia de 26 de septiembre de 2012, formulándose solicitud de declaración de funcionamiento anormal en 18 de noviembr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febrero de 2016,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6 de junio de 2011, resolución impugnada en el presente recurso de amparo número 376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6 de junio de 2011, en el recurso de casación núm. 6137-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376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