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25 de febrero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impugnan Autos de 30 de mayo de 2011 y 1 de junio de 2012 dictados por la Sección Séptima de la Sala de lo Contencioso-Administrativo del Tribunal Supremo en el recurso ordinario 153-2011.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25 de febrero de 2016 el Magistrado don Antonio Narváez Rodríguez comunicó a los efectos oportunos que se abstenía de intervenir en el antes indicado recurso de amparo, de conformidad con el art. 80 de la Ley Orgánica del Tribunal Constitucional, por haber representado al Ministerio Fiscal en el recurso 153-2011 interpuesto ante el Tribunal Supremo, proceso del que trae causa el presente recurso de amparo núm. 4703-2012.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Sala del Tribunal Constitucional, la Sala, en virtud de lo previsto en el art. 219 apartados 13 y 16 de la Ley Orgánica del Poder Judicial, supletoria de la Ley Orgánica del Tribunal Constitucional: LOTC (art. 80), estima justificada la causa de abstención formulada, puesto que el mencionado Magistrado intervino en representación del Ministerio Fiscal en el recurso ordinario 153-2011 seguido en la Sección Séptima de la Sala de lo Contencioso-Administrativo del Tribunal Supremo que dictó los Autos de fechas 30 de mayo de 2011 y 1 de junio de 2012, resoluciones que han sido impugnadas en el presente recurso de amparo núm. 4703-2012.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4703-2012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