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24 de septiembre de 2015 tiene entrada en el Registro General del Tribunal demanda interponiendo recurso de amparo contra sentencia núm. 200-2015 de 13 de julio de 2015 dictada por la Sección Tercera de la Audiencia Provincial de Castellón en recurso de apelación núm. 310-2015 interpuesto contra la Sentencia núm. 84/2015, de 23 de marzo de 2015, del Juzgado de Primera Instancia núm. 9 de Castellón dictada en el juicio verbal 26-2015.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fecha 6 de abril de 2016, presentado el día siguiente, el Procurador don Francisco José Abajo Abril, en nombre y representación de la parte recurrente Bankia, S.A., solicita se la tenga por desistida del presente recurso de amparo.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8 de abril de 2016 se dio traslado al Ministerio Fiscal a fin de que formulara alegaciones, lo que hizo por escrito presentado el 25 de abril de 2016 en el que manifiesta que es procedente acordar el desistimiento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prevista en los arts. 80 y 86 de nuestra Ley Orgánica (LOTC), que se remite en el primero de dichos preceptos, en cuanto a requisitos y procedimiento, a lo establecido en la Ley Orgánica del Poder Judicial y en la Ley de enjuiciamiento civil. Cumplidos estos requisitos en el presente caso, el Ministerio Fiscal no ha opuesto objeción alguna a la voluntad de desistir manifestada por el recurrente, sin que, por otro lado se aprecie perjuicio de parte ni daño para el interés general o público. Por tanto, y dado el carácter rogado que, en principio, tiene la jurisdicción de amparo constitucional [arts. 161.1 b) CE y 41.3 LOTC],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desistida del presente recurso de amparo a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veintinueve de abril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