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noviembre de 2015, el Procurador de los Tribunales don David García Riquelme, en nombre y representación de Estaser El Mareny, S.L., interpuso demanda de amparo contra la providencia de la Sala de lo Civil del Tribunal Supremo de 16 de septiembre de 2015, por la que se inadmite el incidente de nulidad de actuaciones interpuesto contra la Sentencia de 11 de mayo de 2011 dictada en el recurso de casación núm. 1453-2011,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(artículo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escritos de 25 de febrero de 2016 y de 5 de abril del mismo año los Magistrados don Juan Antonio Xiol Ríos y doña Encarnación Roca Trías comunicaron su voluntad de abstenerse en el conocimiento del presente recurso de amparo por entender que concurría la causa 11 del art. 219 de la Ley Orgánica del Poder Judicial, por haber formado parte, en su condición de Magistrados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y doña Encarnación Roca Trías en virtud de lo previsto en los arts. 80 de la Ley Orgánica del Tribunal Constitucional y 221.4 de la Ley Orgánica del Poder Judicial (LOPJ), se estima justificada la causa de abstención formulada, puesto que los mencionados Magistrados, en atención a haber formado parte del órgano judicial que dictó la providencia impugnada en amparo, están incursos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los Magistrados don Juan Antonio Xiol Ríos y doña Encarnación Roca Trías en el recurso de amparo núm. 6344-2015 y apartarlos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