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28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enero de 2016, el Procurador de los Tribunales don Joaquín Fanjul de Antonio, en nombre y representación de doña Rosa Ehrlich Romero, y bajo la dirección del Letrado don Fernando Muñoz-Campos García, interpuso recurso de amparo contra el Auto de la Sección Octava de la Audiencia Provincial de Madrid, de 14 de diciembre de 2015, dictado en el recurso de queja núm. 281-2015, y frente a los Autos de 6 de abril y 20 de abril de 2015 del Juzgado de Primera instancia núm. 1 de Majadahonda en procedimiento ordinario núm. 289-2013, así como contra diversas resoluciones previas en las que aquéllas tienen origen (decreto de 26 de febrero de 2015, providencia de 16 de marzo de 2015, providencia de 6 de abril de 2015 y diligencia de ordenación de 5 de noviembre de 2014), en atención a la aplicación que hicieron de las normas reguladoras de las tasas judiciales previstas en la Ley 10/2012, de 20 de noviembre, modificada por el Real Decreto-ley 3/2013, de 22 de febrero, por la que se regulan determinadas tasas en el ámbito de la Administración de Justicia y del Instituto Nacional de Toxicología y Ciencias Forenses, al considerar que impidieron el acceso a la apelación contra la sentencia dictada en el proceso, de 25 de febrero de 2013, de manera rigorista y desproporcionada, contrariando el art. 24.1 CE en la vertiente de derecho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ejecutividad de la mencionada Sentencia, contra la que se pretendía recurrir en apelación sin que al recurso se le diera curso, en aplicación de la Ley 10/2012, afirmando que la ejecución de la misma, que condenó a la recurrente al pago de 1.630.000 $ USA, más 800 € de intereses legales, produce un perjuicio irreparable haciendo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17 de octubre de 2016, acordó la admisión a trámite de la demanda de amparo, y por providencia de la misma fecha la formación de pieza separada para la tramitación del incidente sobre la suspensión solicitada, concediendo a la recurrente y al Ministerio Fiscal el plazo común de tres días para que alegasen lo que estimaran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por escrito registrado el 26 de octubre de 2016, presentó alegaciones reiterando la cuantía de la condena, señalando que se trata objetivamente de una cantidad de gran entidad para una economía como la suya y que su abono podría conducirle, al carecer de medios, a una insostenible situación económica, al producirse el perjuicio de modo inmediato y con posibles repercusiones en su realidad patrimonial, puesto que se le podría llegar a embargar su vivienda. Añade a lo anterior la cita de la STC 140/2016, de 21 de julio, que declara inconstitucionales y nulos determinados preceptos de la ley aplicada, precisamente los que impidieron en este caso —dice— el acceso a la apelación en el proceso judicial, así como las reformas contenidas en la Ley 25/2015, de 28 de julio, y antes en el Real Decreto-ley 1/2015, de 27 de febrero, que modifican el ámbito subjetivo de los obligados al pago de las tasas judiciales, declarando exentas a las personas físicas, y, finalmente, las circunstancias del caso a examen (señaladamente, el hecho de la residencia en el extranjero de la demandante de amparo, que dio lugar al dictado de la sentencia inaudita parte, al haberse señalado como domicilio de la misma por la parte actora su antiguo domicilio en España), todo lo cual, a su juicio, anunciaría un probable otorgamiento del amparo interesado, dato que debería tomarse en consideración a la hora de adoptar la decisión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2 de noviembre de 2016, presentó alegaciones en las que, enunciando la jurisprudencia constitucional sobre el particular, interesó que se denegara la suspensión, argumentando que en ningún momento se ha justificado el carácter irreversible del perjuicio económico aducido, ni se ha acreditado ni aportado un principio de prueba que permita valorar que, efectivamente, dicho perjuicio se produciría realmente, resultando de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Por su parte, el art. 56.3 LOTC establece que se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adopción de medidas cautelares en el procedimiento de amparo, este Tribunal ha declarado que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(entre tantos otros,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sólo se ha accedido a la suspensión en supuestos excepcionales en los que la ejecución de las resoluciones recurridas en amparo acarrearía perjuicios económicos muy difícilmente reparables por su entidad o por la irreversibilidad de las situaciones jurídicas que puedan producirse (recuerda ese criterio doctrinal, por ejemplo, el ATC 20/2013, de 28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sostiene que en este caso la no suspensión de la resolución objeto de impugnación es susceptible de generar un perjuicio irreparable que podría hacer perder al amparo su finalidad, argumentando que su situación económica le dificulta atender al cumplimiento de la condena, que de hacerlo podría acarrarle perjuicios irreparables en su ámbito patrimonial y que, por lo demás, las recientes reformas en la materia y el dictado de la STC 140/2016, de 21 de julio, anunciarían una más que probable estimación del recurso pendiente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contenido de la resolución respecto del que se pide la suspensión (Sentencia de 25 de febrero de 2013, dictada por el Juzgado de Primera Instancia núm. 1 de Majadahonda en el procedimiento ordinario núm. 289-2013) es exclusivamente de carácter económico. En consecuencia, conforme a la jurisprudencia constitucional ya reseñada, solo la concurrencia de excepcionales circunstancias vinculadas a la irreparabilidad de los perjuicios económicos que se pudieran irrogar con la ejecución y su debida acreditación justificaría una decisión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 cambio, tal y como destaca el Ministerio Fiscal en su informe, no se ha desarrollado el esfuerzo argumental necesario para poner de manifiesto a este Tribunal cómo repercutiría la ejecución en el patrimonio de la obligada al pago, más allá de las genéricas alegaciones que carecen de prueba o acreditación alguna. Esa situación de indeterminación de los eventuales perjuicios debe determinar la denegación de la solicitud de suspensión. No correspondiendo en esta pieza hacer pronunciamiento alguno sobre la cuestión de fondo objeto de la controversia, de la que no puede depender la medida cautelar, definida en su objeto y requisitos en la Ley Orgánica del Tribunal Constitucional, este Tribunal no puede acceder a la suspensión solicitada por insuficiente acreditación de la concurrencia de sus presupuestos materiales.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