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218</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19 de diciembre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7425-2014, promovido por don Jordi Antoni Vives y doña María Inmaculada Cots Paltor, representados por la Procuradora de los Tribunales doña María José Rodríguez Teijeiro y asistidos por el Letrado don Jordi Vives i Bas, contra el Auto del Juzgado de lo Mercantil núm. 4 de Barcelona, de 17 de febrero de 2014 (procedimiento ordinario núm. 688-2013) y contra el Auto de la Sección Decimoquinta de la Audiencia Provincial de Barcelona, de 22 de octubre de 2014, que desestimó el recurso de apelación (rollo núm. 260-2014) promovido contra la resolución anterior. Ha actuado como parte la entidad Caixabank, S.A., representada por el Procurador don Miguel Montero Reiter y asistida por el Letrado don Francesc Torres Vallespí. Ha intervenido el Ministerio Fiscal.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9 de diciembre de 2014, la Procuradora de los Tribunales doña María José Rodríguez Teijeiro, actuando en nombre de don Jordi Antoni Vives y doña María Inmaculada Cots Paltor, interpuso demanda de amparo contra las resoluciones judiciales indicadas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este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12 de septiembre de 2013, los ahora recurrentes en amparo interpusieron demanda de juicio ordinario frente a la entidad Caixabank, S.A., ejercitando conjuntamente una acción declarativa de nulidad de una condición general de la contratación y otra de reclamación de cantidad. Se alegaba por los recurrentes que, tras la constitución el día 1 de julio de 2008 de una hipoteca sobre la vivienda de su propiedad con el fin de garantizar la devolución del préstamo otorgado a su favor por la entidad Caixa D’Estalvis i Pensions de Barcelona, se incluyó una cláusula sobre el tipo de interés aplicable a la vida del préstamo, que consistía en establecimiento, en una primera etapa, de un interés a tipo fijo del 5,75 por 100 nominal anual, que abarcaba desde el día de la firma de la escritura hasta el 31 de enero de 2009 inclusive; y otra segunda etapa, “de interés variable”, comprendida desde el día siguiente al de finalización de la primera etapa hasta el día de vencimiento del préstamo, con la inclusión de una estipulación signada como “pacto tercero bis” de la escritura, en la que se determinaba que el “tipo máximo y mínimo de interés nominal anual aplicable durante la fase sujeta a intereses variables será de nueve enteros (9,00) por 100 y de cuatro enteros (4,00) por 100, respectivamente, siendo también dicho tipo máximo obligacional el tipo máximo a efectos hipotecarios para la primera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los actores combatía precisamente el extremo de esa estipulación que hacía referencia al límite mínimo del 4 por 100 nominal anual, en referencia a lo que se conoce como “cláusula suelo”. Argumentaban aquéllos que dicha cláusula era nula de pleno derecho por abusiva, al no haber podido negociarse individualmente, resultar contraria a las exigencias de la buena fe y causar un desequilibrio contractual en su perjuicio, con incumplimiento del principio de transparencia en cuanto a la información de las consecuencias de la cláusula, teniendo en cuenta su condición jurídica de consumidores. Por ello, solicitaban, además de su nulidad, la devolución de lo pagado al prestatario en aplicación de la referida cláusula, con los intereses legales devengados.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 “sobre acción declarativa de nulidad de condición general de la contratación y acción de reclamación de cantidad” fue turnada al Juzgado de lo Mercantil núm. 4 de Barcelona y admitida a trámite en virtud de decreto de su Secretaría de 25 de octubre de 2013. Conferido traslado de la misma a la parte demandada, la entidad Caixabank, S.A., su representación procesal presentó escrito de personación en las actuaciones el 19 de noviembre de 2013, formulando en el mismo, mediante un “otrosí digo”, la petición de sobreseimiento del proceso por existir a criterio de dicha parte litispendencia o, en su defecto, prejudicialidad civil, respecto del procedimiento instado por la Asociación de usuarios de Bancos, Cajas de Ahorros y Seguros de España (ADICAE), para la protección de derechos e intereses colectivos y difusos de consumidores y usuarios, conforme a demanda de la que se aportaba copia de su “cabecera y suplico”, autos seguidos ante el Juzgado de lo Mercantil núm. 11 de Madrid (procedimiento ordinario núm. 471-2010) donde se impugnaba, entre otras, la cláusula suelo de la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proveyó a lo solicitado dictando providencia el 21 de noviembre de 2013, por la que ordenó dar traslado del escrito a la parte actora, “resolviéndose esta cuestión en la audiencia previa”, con orden de que continuara el procedimiento. La parte demandada presentó el 12 de diciembre de 2013 el escrito de contestación a la demanda, en el que reiteró el planteamiento de las excepciones de litispendencia o en su caso prejudicialidad civil, remitiéndose en su argumentación a lo expuesto en su anterior escrito de 19 de noviembre. También se opuso al fondo de las pretensiones suscitadas en la demanda y solicitó, “caso de que este pleito llegue a Sentencia”, que se acordara su desestimación íntegra.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Secretaría del Juzgado dictó diligencia de ordenación el 13 de diciembre de 2013, teniendo por presentado el escrito de contestación a la demanda y convocando a las partes a la celebración del acto de la audiencia previa el 6 de febrero de 2014, donde tuvo lugar lo acordado.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 fecha 17 de febrero de 2014, el Juzgado dictó Auto estimatorio de la excepción de prejudicialidad civil planteada por la representación de Caixabank, S.A., y la suspensión del procedimiento hasta que recayera resolución firme en el proceso seguido ante el Juzgado de lo Mercantil núm. 11 de Madrid (por error se indica el núm. 12). En su fundamentación, el Juzgado, luego de reconocer la complejidad de la cuestión que le había sido suscitada por la dificultad de tener que ”compatibilizar los diferentes intereses en juego” y de señalar que, de una parte, el art. 11.1 de la Ley de enjuiciamiento civil (LEC) reconocía legitimación a las asociaciones de consumidores y usuarios para defender los intereses de éstos, pero también, de otra, confería legitimación activa a los consumidores individuales para defender sus propios intereses, permitiendo extender los efectos de la cosa juzgada material a los consumidores no litigantes, destacaba de modo textual en su fundamento jurídico 3 que tal circunstancia “implicaría que promovido un pleito con las mismas pretensiones por una asociación de consumidores no pudieran plantearse acciones individuales o las que se plantearan fueran sobreseídas, art. 421 LEC, mientras que si la coincidencia no es total sino parcial, el procedimiento tendría que suspenderse por prejudicialidad civil, art. 421.1 y 43 LEC”. Por ello y, según refería la resolución, para evitar “resoluciones contradictorias” y con apoyo, también, en un precedente Auto de la Sección Decimoquinta de la Audiencia Provincial de Barcelona (de 11 de junio de 2013), que, según razonaba el Juzgado, era similar al de autos, estimó procedente la existencia de una prejudicialidad civil, conforme prevé el art. 43 LEC, y acordó pues la suspensión del procedimiento hasta tanto fuera resuelto el seguido ante el Juzgado de lo Mercantil núm. 11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el indicado Auto, la parte actora interpuso recurso de apelación en el que, además de alegar en el plano de la legalidad ordinaria la infracción del art. 43 LEC y argumentar que el ejercicio de la acción colectiva por parte de ADICAE no impedía a los interesados ejercitar las acciones individuales que tuvieran por conveniente con base en lo previsto en el art. 11.1 LEC, los recurrentes sostuvieron que la tesis del Juzgado conducía a una vulneración del derecho fundamental a la tutela judicial efectiva, consagrado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Sección Decimoquinta de la Audiencia Provincial de Barcelona dictó Auto el día 22 de octubre de 2014, en el seno del rollo de apelación 260-2014, por el que desestimó el recurso interpuesto, si bien en su parte dispositiva agregó el siguiente tenor literal: “no obstante lo cual, modificamos de oficio la resolución recurrida apreciando que no concurre prejudicialidad sino litispendencia, de manera que procede el archivo de las actuaciones”, sin expresa imposición de costas por apreciar “dudas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argumentos desplegados por el Auto de referencia (FFJJ 3 a 5) para tomar su decisión fueron,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(FJ 3), con apoyo en el art. 222.3 LEC, destaca que “nuestro legislador optó claramente por un sistema de afectación personal de lo resuelto en la acción colectiva a todos los integrantes del grupo, esto es, a todos los afectados, tanto en el caso de que lo resuelto sea favorable como adverso. Y en nuestro sistema no se ha regulado el derecho de autoexcluirse del grupo, de manera que los derechos de los afectados podemos considerar que se limitan” a los que resultan del art. 15 LEC, esto es, intervenir en el proceso, o bien solicitar la acumulación de la acción individual a la colectiva (siempre que se cumplan los requisitos que exige el art. 76.2.1 LEC) o interesar la extensión de los efectos del pronunciamiento en fase de ejecución (art. 519 LEC). De aquí deduce la Sala que “si se extienden a los particulares titulares de acciones individuales los efectos de la acción colectiva con los atributos propios de la cosa juzgada, de ello se sigue la idea de que tienen absolutamente vedado iniciar con posterioridad a la acción colectiva acciones de carácter individual que versen sobre el mismo objeto”. Afirma (FJ 4) que tiene razón la recurrente cuando alega que no se cumplen en el supuesto enjuiciado los presupuestos establecidos en el art. 43 LEC, norma que regula la prejudicialidad civil, sino que existe identidad de objeto “porque la condición general impugnada en ambos en la misma, no es solo similar. Y también porque en la acción colectiva ADICAE no se limitó a solicitar la nulidad de la cláusula sino que también ejercitó la acción de restitución de cantidades, acción que aunque tiene un carácter general debemos considerar que incluye todas las acciones individuales, tal y como resulta de los arts. 221 y 519 LEC. Esos artículos permiten y regulan la forma en la que las acciones individuales se pueden concretar en el proceso relativo a la acción colectiva: (i) sea en la propia sentencia, mediante la concreción de la identidad de cada uno de los afectados; o (ii) en la fase de ejecución, en el caso de que en la sentencia no se hubiera hecho aquella concreción”.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(FJ 6), la Sala arguye que, aun cuando el art. 11.1 LEC reconozca legitimación activa a los perjudicados titulares de acciones individuales, tal circunstancia no se opone a la apreciación de litispendencia, pues sostiene que el hecho de que “tengan legitimación activa los perjudicados no significa que deban mantener abierta de forma incondicional la posibilidad de actuar en un proceso separado. Iniciada la acción colectiva su legitimación se concreta, como resulta de lo establecido en el artículo 15 LEC, en intervenir en el proceso en el que se sustancia la acción colectiva para hacer valer en él su derecho o interés singular, tal y como expresa ese precepto en su apartado 1”. Del mismo modo, descarta el órgano judicial que exista afectación relevante alguna al derecho a la tutela judicial efectiva pues, a su parecer, “no se restringe la legitimación de los afectados ni se les impide el acceso a la tutela sino que únicamente se condiciona el ejercicio de las acciones individuales de una forma concreta y determinada (acumulada a otras, las colectivas), de manera que permite conciliar esos derechos individuales con los de los demás afectados”. Se trataría por tanto, concluye, de “normas de organización procesal que pretenden salvaguardar el interés general (los intereses colectivos) respetando el buen orden procesal (la cosa 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actores formalizaron demanda de amparo ante este Tribunal, en la que se alega vulneración de su derecho fundamental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dedicado a los hechos, se relata que, una vez dictado Auto por el Juzgado de lo Mercantil competente, en el que apreció la prejudicialidad civil, dicha parte lo hubo recurrido en apelación, “alegando entre otros motivos la vulneración del derecho fundamental a la tutela judicial efectiva consagrado en el art. 24 CE, al considerar que una acción colectiva no podía impedir el derecho fundamental al acceso a la jurisdicción y a la obtención de una sentencia sobre el fondo de las pretensiones alegadas por la parte recurrente. Y ya no sólo por tratarse de un derecho fundamental, sino porque la legislación ordinaria, en este caso el art. 11 LEC, respetando este precepto constitucional, salvaguarda la legitimación individual de los consumidores o usuarios perjudicados, a pesar de que una asociación de consumidores decida interponer una demanda en defensa de intereses colectivos”.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adelante, en el bloque de fundamentos de derecho procesales, en concreto en el epígrafe dedicado al requisito del debido agotamiento de la vía judicial previa al amparo, art. 44.1 a) de la Ley Orgánica del Tribunal Constitucional (LOTC), la demanda explica que dicha parte actora “ha tenido serias dificultades” para su cumplimiento. Que, siendo el Auto de la Audiencia Provincial firme y no caber contra él recurso alguno, “parecía claro que la vía judicial previa al recurso de amparo se agotaba con la interposición del recurso de nulidad de actuaciones ante el órgano que dictó dicha resolución”. Sin embargo, prosigue diciendo la demanda, “dicha interpretación, fue pacífica hasta que el Tribunal Constitucional, en Pleno, dictó la STC 216/2013, de 19 de diciembre”, de la que reproduce su fundamento jurídico 2 d), donde se declara que, para el agotamiento de la vía judicial previa, “basta comprobar que los órganos judiciales han tenido la oportunidad de pronunciarse sobre los derechos fundamentales luego invocados en vía de amparo constitucional, para estimar cumplido el mencionado requisito”, por lo que “cuando el objeto del proceso consista en el estudio de la lesión directa del derecho … consecuencia de la revocación de las sentencias de las instancias previas, no requiere la necesaria interposición del incidente de nulidad”. Añade el escrito que la disyuntiva entre interponer el incidente o no hacerlo “no es baladí, ya que optar por la interposición del recurso sin ser necesario conllevaría una interposición extemporánea del recurso de amparo, y no interponerlo siendo preceptivo conllevaría una inadmisión del recurso por no cumplir el requisito del agotamiento previo de la vía judicial”. Y finaliza en este punto la demanda diciendo que “en consecuencia, esta parte ha llegado a la conclusión que en este supuesto no es necesaria la interposición del recurso [sic] de nulidad de actuaciones y que, por tanto, debemos interponer directamente el presente recurso de amparo, habida cuenta que el órgano judicial que dictó el Auto, recurrido ahora en amparo, ya tuvo oportunidad de pronunciarse sobre la vulneración del derecho fundamental objeto de la presente demanda (art. 24. CE) entendiendo que no existía ‘afectación alguna relevante desde la perspectiva del art. 24 CE’, por ende, ha de concluirse que se han agotado todos los recursos preceptivos de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en cuanto al fondo, tras invocar el derecho a la tutela judicial efectiva (art. 24.1 CE), con cita de doctrina constitucional sobre la prohibición de llevar a cabo interpretaciones de los requisitos procesales que restrinjan u obstaculicen el acceso al proceso, con aplicación del canon del principio pro actione, la demanda alega que la intervención del consumidor individual en una acción colectiva ya iniciada por una asociación de consumidores y usuarios, aunque sea una posibilidad prevista en el art. 11 LEC, no es una intervención obligatoria. Tesis que sustenta en el propio art. 24 CE, afirmando que “esta interpretación es la que parece más acorde con la dicción literal del precepto que, al reconocer legitimación a las asociaciones para el ejercicio de acciones colectivas lo hace ‘sin perjuicio de la legitimación individual de los perjudicados’, mención que permite afirmar la posibilidad del ejercicio simultáneo de acciones colectivas y acciones individuales”. Tras citar la recomendación de 11 de junio de 2013 de la Comisión Europea, defiende que no hay peligro en estos casos de sentencias contradictorias “pues los intereses en juego en cada una de las acciones es distinto y tanto más cuando, como es el caso, los recurrentes no forman parte del elenco de los concretos intereses defendidos en el otro proceso ni tan siquiera que hayan sido llamados a ese proceso lo que, en todo caso, no puede constituirse ni en una obligación ni una carga procesal con consecuencias negativas frente a su derecho individual a la tutela judicial efectiva. La acción colectiva no permite el análisis individualizado, y menos cuando el concreto consumidor no se ha adherido a la acción colectiva. Por tanto, al no ser idéntico el conjunto de hechos esenciales, pues en la acción individual —tal y como consta planteada en la demanda— hemos de atender a las concretas circunstancias personales del concreto consumidor y la actuación de la entidad financiera, para lo cual podría desplegarse prueba en este sentido, es por ello que no puede afirmarse que exista identidad de causa petendi entre la acción ejercida por esta parte y la acción colectiva interpuesta por ADICAE y que se sustancia en el Juzgado Mercantil núm. 11 de Madrid”. Insiste finalmente en una lectura integrada de los arts. 11.1 LEC y 24.1 CE, para no excluir el ejercicio de las acciones individuales.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suplico de la demanda solicita la declaración de nulidad del Auto de la Sección Decimoquinta de la Audiencia Provincial de Barcelona, de 22 de octubre de 2014 y que, como consecuencia de ello, “se ordene la emisión de una sentencia sobre el fondo según las pretensiones y peticiones de las partes que constan en los autos, restableciendo de este modo los derechos a la tutela judicial efectiva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2 de enero de 2015, la Secretaría de Justicia de la Sección Cuarta de este Tribunal requirió al Procurador de los recurrentes para que aportara copia del Auto dictado por el Juzgado de lo Mercantil núm. 4 de Barcelona. El requerimiento fue cumplimentado por dicha representación procesal, a través de escrito presentado el 9 de enero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22 de junio de 2015, la Sección Cuarta, Sala Segunda, de este Tribunal, dictó providencia admitiendo a trámite la demanda de amparo, “apreciando que ofrece especial trascendencia constitucional (art. 50.1 LOTC), toda vez que, el recurso puede dar ocasión al Tribunal para aclarar o cambiar su doctrina, como consecuencia de cambios normativos relevantes para la configuración del contenido del derecho fundamental [STC 155/2009, FJ 2 b)]”. Asimismo, se acordó dirigir comunicación a la Sección Decimoquinta de la Audiencia Provincial de Barcelona, y al Juzgado de lo Mercantil núm. 4 de Barcelona, para que remitieran certificación o fotocopia adverada de las actuaciones correspondientes, con emplazamiento a quienes hubiesen sido partes en el procedimiento, excepto a la parte recurrente en amparo, al objeto de poder comparecer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medio de escrito presentado el día 10 de julio de 2015, el Procurador de los Tribunales don Miguel Montero Reiter vino a personarse en nombre y representación de la entidad Caixabank, S.A., solicitando se entendieran con él las sucesivas diligencias y notificaciones.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Secretaría de Justicia de la Sala Segunda de este Tribunal dictó diligencia de ordenación el día 2 de septiembre de 2015, por la que tuvo por personado y parte en el procedimiento al Procurador indicado, en nombre y representación de Caixabank, S.A., si bien con la condición de que en el plazo de diez días aportase la escritura de poder acreditativa de tal representación, lo que efectuó el día 11 de septiembre siguiente. Asimismo, en la diligencia de ordenación del día 2 de septiembre se acordó abrir trámite de audiencia por veinte días a las partes personadas y al Ministerio Fiscal, a fin de que pudieran presentar alegaciones conforme determina el art. 52.1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día 1 de octubre de 2015, la representante procesal de los recurrentes en amparo presentó sus alegaciones, informando que ante el Tribunal de Justicia de la Unión Europea pendía una cuestión prejudicial relativa a la interpretación de la Directiva 91/13/CEE [sic], del Consejo, de 5 de abril de 1993, sobre las cláusulas abusivas en los contratos celebrados con consumidores, en la que se plantea “si el art. 7 de dicha Directiva se opone a una normativa procesal nacional según la cual los procedimientos judiciales individuales sobre cláusulas abusivas, entablados paralelamente a procedimientos colectivos, deben suspenderse, por existir prejudicialidad civil, hasta que recaiga sentencia firme en los procedimientos colectivos, quedando también vinculados a lo que se decida en dicha sentencia”. En relación a dicho procedimiento, se aportó informe del servicio jurídico de la Comisión Europea en los asuntos acumulados C-381/14 y C-385/14, cuyo criterio “es relevante y debe ser conocido por este Alto Tribunal”, acompañando copia del mismo, y reproduciendo varios de sus apartados así como su conclusión, según la cual una norma nacional que prevea suspender los procedimientos individuales hasta que recaiga sentencia firme en los procesos colectivos, se opone al art. 7 de la Directiva 93/13/CEE.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5 de octubre de 2015 se formalizó escrito de alegaciones por el representante procesal de la entidad Caixabank, S.A. Como primer punto, se alega la infracción del requisito de procedibilidad del art. 44.1 a) LOTC, referido al agotamiento previo de la vía judicial. Se fundamenta dicho óbice en que el escrito de interposición del recurso de apelación apenas invierte dos líneas en denunciar la lesión del derecho a la tutela judicial efectiva (art. 24.1 CE), sin ofrecer una argumentación más detallada al respecto, por lo que en consonancia con ello la respuesta del órgano judicial alcanza la misma extensión en su último fundamento jurídico titulado “Otras consideraciones adicionales”. De aquí colige que “el Tribunal de apelación no ha tenido ocasión de pronunciarse de forma suficientemente exhaustiva sobre una posible vulneración” del indicado derecho fundamental, dejando así de preservarse el carácter subsidiario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cuestión de fondo, sostiene la entidad bancaria que la demanda de amparo tampoco dedica una alegación específica en torno a los términos en que se produce la lesión del art. 24.1 CE, más bien genérica. En todo caso, y efectuando una interpretación de las normas procesales aplicadas por la resolución recurrida, afirma que no hay la vulneración que se aduce de contrario, porque los consumidores y usuarios tienen legitimación para ejercitar una acción individual bien que en casos como éste han de hacerlo “en el seno del procedimiento colectivo, en el que como tales individuos pueden comparecer y ser parte, sin que quepa que puedan seguir un proceso singular en paralelo, al margen del colectivo”.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formalizó su escrito de alegaciones con fecha 9 de octubre de 2015, interesando la estimación del amparo “por entender que el Auto dictado por el Juzgado de lo Mercantil … y el Auto … de la Audiencia Provincial de Barcelona desestimando el recurso de apelación contra el anterior han vulnerado el art. 24.1 CE que tutela el acceso al proceso y a obtener una resolución de fondo, restableciendo a los demandantes en amparo en su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 hecho, se precisa que “son dos las resoluciones judiciales impugnadas porque en ambas, tanto en la de instancia como en la de apelación, se deniega el acceso a la jurisdicción, si bien por motivos diferentes”; la del Juzgado acordando la suspensión por prejudicialidad, y la Audiencia el archivo del procedimiento por litispendencia. Así, “siendo motivaciones distintas las que impiden el acceso a la jurisdicción de las demandantes de amparo, ambas tienen un nexo común, cual es la finalidad de ambas resoluciones de encontrar una interpretación de las normas en juego, que son las que regulan la coordinación del ejercicio de las acciones individuales con el de las acciones colectivas, que permita resolver los conflictos, reales o aparentes, que puedan derivarse de dicha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al motivo de fondo del recurso, el Ministerio público se centra en el art. 11.1 LEC, del que observa que prevé la legitimación de las asociaciones de consumidores y usuarios para ejercitar acciones en defensa de los intereses generales de éstos, “sin perjuicio de la legitimación individual de los perjudicados”, quedando así establecida la compatibilidad entre ambas. Pasa a referirse a los razonamientos dados en el Auto del Juzgado de lo Mercantil núm. 4 de Barcelona, y critica la solución de suspender el procedimiento hasta que recaiga sentencia firme en la causa seguida por ADICAE ante el Juzgado de lo Mercantil núm. 11 de Madrid, al no tratarse de las mismas partes, “porque en el proceso previo es una asociación de consumidores y en el proceso que se encuentra en el origen del presente recurso son los demandantes de amparo, que ni consta pertenezcan a la asociación demandante ni tan siquiera que hayan sido llamados a dicho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considera el Fiscal que la solución interpretativa que sustenta el Auto del Juzgado de lo Mercantil “nos parece poco fundada en derecho, pudiera entenderse como arbitraria por cuanto desconoce el completo juego normativo que hemos esbozado más arriba y que se desprendería de la interpretación armónica de los arts. 11 y 15 LEC, revelando asimismo perspectivas ciertas de carácter enervante o formalista en su argumentación que justifican la vulneración aducida en la demanda de amparo relativa a un impedimento constitucional del derecho fundamental de acceso al proceso y en su seno a una resolución de fondo debidamente fundamentada de conformidad con lo tutelado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parecer, además, la resolución del Juzgado adolece de una deficiente fundamentación, por dos causas: “En primer lugar porque en ningún momento se ha aportado en el proceso ni el Juzgado y luego ante la Sección en apelación, ni lo aportó la entidad demandada, que eran a los que correspondía hacerlo, la documentación del proceso preexistente que permitiera de manera cierta documentar no sólo la litis del mismo y el alcance final de esta sino asimismo las relaciones procesales existentes en aquél, el momento procesal y lo actuado hasta ese momento así como los llamamientos a quienes pudieran ser parte en el mismo al tenor de los arts. 11 y 15 LEC. Y lo mismo cabe decir del art. 43 LEC para poder decidir si concurría o no prejudicialidad civil … en ningún momento concreta ni razona cuales sean las similitudes y las diferencias que le permitan llegar a esa conclusión; un déficit argumentativo y fundamentador que es de alcance grave para con una decisión de tanta relevancia como lo es la suspensión de un proceso y el impedimento, al menos momentáneo, de que prospere el petitum de los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segundo lugar, prosigue diciendo, porque tampoco el Auto del Juzgado motiva por qué no era posible acordar la acumulación de procesos antes de tener que llegar a la solución de declarar la prejudicialidad, lo que supone “un nuevo ataque al deber de fundamentación de una resolución” cuya necesidad de motivación es “alta y exigente por las consecuencias anudadas a la misma”, conforme “la constante jurisprudencia constitucional en relación con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resolución de apelación, considera a su vez el Fiscal que “incide en los mismos defectos constitucionales que hemos atribuido a la de instancia”. Respecto de la interpretación de las normas que lleva a la Audiencia a afirmar que la admisión a trámite de una acción colectiva de nulidad de cláusulas abusivas por una asociación de consumidores y usuarios, comporta la negación de la legitimación individual reconocida a los perjudicados en el art. 11.1 LEC, da por reproducidas al efecto las consideraciones efectuadas ya a propósito del Auto del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cuestiona la declaración de oficio de la litispendencia hecha por la Audiencia, lo que “podría suponer la vulneración del derecho a no padecer indefensión anudada a incongruencia extrapetita (art. 24.1 CE) e incluso del proceso debido (art. 24.2 CE)”. De otro lado, observa que el contenido de algunas Sentencias dictadas en materia de cláusulas abusivas tanto por la Sala Primera del Tribunal Supremo, como por el Tribunal de Justicia de la Unión Europea, revelan la complejidad de estos asuntos, frente a la cual los Autos aquí impugnados “excluyen de manera arbitraria, enervante y formalista la posibilidad de acciones individuales a los perjudicados primando las acciones colectivas, sin acreditar elementos de prueba esenciales, e impidiendo el acceso a una resolución de fondo tal y como exige el art. 24.1 CE que han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argumentando el Fiscal que lo que trae consigo la vulneración del art. 24.1 CE, en definitiva, “es que se prime la acción colectiva de manera radicalmente excluyente de la acción individual de los perjudicados a través de interpretaciones apodícticas”, sin aportación documental suficiente “del proceso de referencia que justifiquen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representación procesal de los recurrentes presentó escrito el 19 de abril de 2016, por la que alega que el Tribunal de Justicia de la Unión Europea ha dictado Sentencia el 14 de abril previo, en las cuestiones prejudiciales referidas en su escrito de alegaciones del art. 52 LOTC, y cuya copia acompaña como documento núm. 1, solicitando su admisión a los actuaciones, lo que fue acordado por diligencia de ordenación de la Secretaría de Justicia de la Sala Segunda, de 20 de abril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propia Secretaría de Justicia de la Sala Segunda, finalmente, dictó diligencias de ordenación el 27 de julio y el 21 de septiembre de 2016, requiriendo documentación de las actuaciones, respectivamente, al Juzgado de lo Mercantil núm. 4 de Barcelona y a la Sección Decimoquinta de la Audiencia Provincial de Barcelona, con el resultado que obra en los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15 de diciembre de 2016, se señaló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solicita en su suplico, por los motivos que expone en sus fundamentos y que luego se analizarán, que este Tribunal declare la nulidad del Auto de la Sección Decimoquinta de la Audiencia Provincial de Barcelona dictado el 22 de octubre de 2014, por vulnerar el derecho de acceso a la jurisdicción (art. 24.1 CE) de los recurrentes, al haber estimado la excepción procesal de litispendencia respecto del procedimiento abierto a su instancia contra la entidad Caixabank, S.A., para la nulidad de la cláusula suelo incluida en el contrato de préstamo suscrito entre ambas partes; en favor del procedimiento instado a su vez en el año 2010 por la asociación de consumidores ADICAE (Asociación de usuarios de Bancos, Cajas de Ahorros y Seguros de España) contra diversas entidades financieras —entre ellas la aquí demandada—, en ejercicio de una acción colectiva de cesación de cláusulas abusivas, ante el Juzgado de lo Mercantil núm. 11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aunque no en el suplico, el escrito de demanda sí que hace referencia en sus fundamentos a que el Juzgado de lo Mercantil núm. 4 de Barcelona había dictado Auto el 17 de febrero de 2014, acordando estimar la excepción de prejudicialidad del art. 43 de la Ley de enjuiciamiento civil (LEC) planteada por la entidad demandada, en relación con aquel otro proceso seguido a instancias de ADICAE, trayendo consigo que se suspendieran las actuaciones hasta recaer sentencia firme en este último, a fin de estar a lo resuelto en el mismo para dilucidar la controversia aquí planteada. Esta decisión judicial propició, según explica la propia demanda, la interposición de un recurso de apelación en el que, aparte de otros argumentos, se hizo expresa invocación del art. 24.1 CE, al entenderse como impeditiva del derecho de los recurrentes a obtener una resolución de fondo sobre sus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esa denuncia, y dado que la demanda en ningún momento afirma que el Auto de la Audiencia hubiere reparado la lesión producida por el Juzgado a quo, ha de entenderse que el recurso de amparo se plantea en realidad contra ambas resoluciones judiciales, siguiendo la doctrina de este Tribunal, en cuya virtud el escrito de demanda de amparo “constituye un todo unitario, cuya lectura ha de acometerse con un criterio flexible y no formalista, importando sobre todo que el escrito permita conocer ‘la vulneración constitucional denunciada y la pretensión deducida’ (por todas, STC 214/2005, de 12 de septiembre, FJ 2 y las que en ella se citan” [STC 123/2010, de 29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 ponerse de relieve, sin más demora, que el objeto del presente proceso coincide sustancialmente con el deducido a su vez por otros demandantes de amparo en el recurso núm. 7120-2014, resuelto en sentido estimatorio por nuestra reciente Sentencia 148/2016, de 19 de septiembre. No solamente el asunto de fondo es coincidente entre ambos (la denuncia de vulneración del derecho de acceso a la jurisdicción, por preterición de una acción de nulidad individual de cláusula abusiva, a favor de una acción colectiva de cesación instada por una asociación de consumidores —en este caso la de ADICAE arriba identificada—), sino que también lo son tanto la dispositiva como la ratio decidendi de las resoluciones impugnadas: la del Juzgado a quo (en este caso, incluso, es el mismo: el Mercantil núm. 4 de Barcelona) que declara la suspensión del proceso individual por prejudicialidad, y la del Tribunal de apelación: en los dos, la Sección Decimoquinta de la Audiencia Provincial de Barcelona, con los mismos argumentos, desestima los respectivos recursos de apelación, aunque acordando el archivo del procedimiento. Al no concurrir por tanto cuestiones nuevas ni distintas de las ya enjuiciadas entonces, se impone por unidad de criterio que traslademos aquí los razonamientos vertidos en aquella STC 148/2016.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entrar en el examen del fondo del recurso hemos de dar, aunque sea de modo sucinto, debida respuesta al óbice procesal que plantea la entidad bancaria personada, relativo a la falta de agotamiento de la vía judicial previa ex art. 44.1 a) de la Ley Orgánica del Tribunal Constitucional (LOTC). De los términos con que el mismo se formula se desprende su falta de consistencia, pues lo único que se objeta es que el escrito de los apelantes no fuera más extenso en su denuncia de lesión del derecho a la tutela judicial efectiva, cuando lo cierto es que lo alegado fue, aunque sucinto, suficiente, pues generó una contestación concreta del Tribunal de apelación, como reconoce la entidad, sin que tenga relevancia alguna que esta última aparezca en el fundamento jurídico de 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y extractando lo que ya señalamos en la STC 148/2016, FJ 2: “la demanda de amparo alega como único motivo la vulneración de su derecho a la tutela judicial efectiva en su vertiente del derecho de acceso a la Jurisdicción (art. 24.1 CE), que, a su parecer, se ha conculcado por una interpretación de la legalidad procesal que, en su sustrato, comparten, tanto el Juzgado como la Audiencia, como es la negación a que se dicte sentencia de fondo resolviendo las pretensiones de las partes con arreglo a la razón de pedir expuestas por éstas en sus escritos y con ponderación de las concretas circunstancias concurrentes en el caso”. Aunque “los dos órganos judiciales han llegado a soluciones distintas … en ambas instancias, lo que al final aconteció, es que los ahora demandantes de amparo vieron impedido su acceso a la Jurisdicción y, por ende, la decisión judicial de fondo que resolviera sobre sus pretensiones … este pedido es lo que constituye la única razón de ser de su demanda de amparo … Por ello, ha de entenderse correctamente agotada la vía jurisdiccional previa”. Se rechaza en consecuencia el óbice procesal alegado por la entidad personada.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Corresponde iniciar ya el examen de la lesión constitucional invocada. Para centrar el debate, la STC 148/2016, FJ 3, recordó la doctrina de este Tribunal acerca del derecho de acceso a la jurisdicción, vertiente del art. 24.1 CE, con cita de la STC 49/2016, de 14 de marzo, FJ 3 —que relaciona otras anteriores— acerca del derecho del justiciable a obtener una decisión de fondo de sus pretensiones, salvo que medie causa legal que lo impida y ésta se aplique de manera razonada y proporcionada por la resolución judicial que así lo declare. Asimismo recordamos con cita de la STC 106/2013, de 6 de mayo, FJ 4, (dictada también en un caso de aplicación indebida de la litispendencia), cuál es el canon de control a emplear en estos casos (arbitrariedad, irrazonabilidad, error patente o falta de proporcionalidad), advirtiendo que nos encontramos ante un control externo que no comporta formular un juicio de interpretación de la legalidad ordinaria aplicable, tarea propia de la jurisdicción ordinaria, sino analizar “si la interpretación que en este caso concreto han realizado los órganos judiciales a través de las resoluciones impugnadas es contraria al derecho fundamental a la tutela judicial efectiva, en su vertiente de acceso a la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esta premisa, la citada STC 148/2016 acometió el enjuiciamiento de fondo desde un doble plano de análisis: el primero, el de determinar si la solución adoptada por las resoluciones impugnadas, declarando la suspensión de la acción individual de nulidad y más tarde su archivo, en favor de la acción de cesación de cláusulas abusivas promovida por una asociación de consumidores, tiene anclaje en las normas de nuestro ordenamiento, mediante una lectura prima facie de las disposiciones que regulan su ejercicio. Y, obtenida una respuesta negativa a este interrogante, en los términos que ahora se dirán, atendimos en segundo lugar al tratamiento que recibe la acción de cesación en el Derecho comunitario, que es donde ésta tiene su origen, alcanzando resultado idéntico en cuanto a la inexistencia de causa que justifique la exclusión o preterición de la acción individual.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mencionada STC 148/2016, FFJJ 4 y 5, este Tribunal hizo un detallado examen de la normativa interna española y también de la Unión Europea (UE), de la que, a modo de resumen, podemos destacar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análisis del Ordenamiento jurídico nacional, este Tribunal hizo referencia, en primer lugar, al régimen de legitimación activa (restringida a las entidades e instituciones señaladas en su artículo 16) para el ejercicio de acciones de cesación de cláusulas ilícitas y, también, de las pretensiones de condena acumulables, previstos en las Leyes 7/1998, de 13 de abril, de condiciones generales de la contratación y 39/2002, de 28 de octubre, (de transposición de la Directiva 98/27/CE, del Parlamento Europeo y del Consejo, de 19 de mayo de 1998, “relativa a las acciones de cesación en materia de protección de los intereses de los consumidores”), que supuso como novedad, en el caso de la segunda de las normas citadas, la inclusión de un apartado cuarto en el art. 15 LEC, que exceptúa expresamente a “los procesos iniciados mediante el ejercicio de una acción de cesación para la defensa de los intereses colectivos y difusos de los consumidores y usuarios”, de las reglas de publicidad y llamamiento al proceso contenidas en los apartados anteriores del mismo artículo 15, que operan en el ámbito de las acciones colectivas de reclamación de daños y perjuicios a consumidores determinados o de difícil o imposible determinación, y se venía a destacar que, con la precitada dispensa, resulta evidente “…que el legislador asume no solamente que el consumidor individual no necesita estar presente en las actuaciones del proceso colectivo y, por ello mismo, puede actuar al margen de él ejercitando la acción de nulidad individual en un proceso autónomo. También que, en consecuencia, no puede deducirse judicialmente ninguna privación o sacrificio a dicha acción individual, por mor de una carga de personación al proceso de cesación que no existe” [STC 148/2016,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 continuación, la STC 148/2016 centró su atención en el vigente texto refundido de la Ley general para la defensa de los consumidores y usuarios y otras leyes complementarias, aprobado por Real Decreto Legislativo 1/2007, de 16 de noviembre, que prevé en su artículo 53 una acción de cesación de alcance más amplio que la de la Ley 7/1998, pues se dirige a “cesar” conductas que resulten contrarias a los derechos e intereses de los consumidores (entre las que cabe situar la cesación de cláusulas abusivas, como ya previó la anterior Ley de consumidores 26/1984 tras su reforma por la citada Ley 39/2002), también con legitimación tasada a entidades e instituciones, si bien recoge como pretensiones acumulables algunas que pueden concernir a contratos concretos (declaraciones de anulabilidad, resolución, rescisión o condena al cumplimiento de obligaciones, restitución de cantidades pagadas por cláusulas declaradas abusivas e indemnización de daños y perjuicios producidas por éstas). De modo textual se decía: “una vez más, y esto es lo determinante, la ley no fija ningún tipo de preterición, sea por la vía de la litispendencia u otra, de las acciones individuales frente a la acción colectiva de cesación, quedando indemne el derecho del interesado para impetrar la tutela autónoma de sus derechos e intereses legítimos de manera separada” [STC 148/2016,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relación con este extremo, concluyó la STC 148/2016 afirmando que “de lo expuesto se deriva que no aparecen normas que habiliten al juez para acordar la exclusión o archivo del proceso de nulidad individual por la mera admisión a trámite de una acción de cesación de la misma cláusula, resultando más bien claras las expresiones del legislador en sentido contrario a esa tesis restrictiva del derecho de acceso a la jurisdicción” [STC 148/2016,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y, a mayor abundamiento, hay que destacar que, en la STC 148/2016, FJ 5, cuya doctrina resulta de aplicación, se señalaba que, en el ámbito del Derecho comunitario, se constata que, tanto la Directiva 98/27/CE sobre acciones de cesación, como la Directiva 2009/22/CE del Parlamento Europeo y del Consejo, de 23 de abril de 2009, “relativa a las acciones de cesación en materia de protección de los intereses de los consumidores”, hacen reserva en todo caso del ejercicio de las acciones individuales por los interesados (consideración 2). De lo que se desprende que “la acción de cesación creada por las Directivas comunitarias no pretende erigirse en mecanismo sustitutivo del ejercicio de las acciones individuales en el ámbito de los consumidores; tampoco en materia de nulidad contractual”, sino que el ordenamiento español “ha efectuado una ampliación del objeto de esta acción de cesación hacia pretensiones de carácter económico, ampliación que en sí misma no infringe dichas Directivas, las cuales expresamente dejan hecha reserva a ‘una más amplia facultad de actuación de los Estados’ (art. 7 de las Directivas 98/27/CE y 2009/22/CE). Pero siempre y cuando esto último no acarree la exclusión de las acciones individuales” [STC 148/2016,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Sentencia del Tribunal de Justicia de la Unión Europea de 14 de abril de 2016, también citada por la STC 148/2016, que resolvió dos cuestiones prejudiciales acumuladas suscitadas por el Juzgado de lo Mercantil núm. 9 de Barcelona, en torno al mismo problema planteado en este caso por la decisión del Juzgado a quo de aplicar el art. 43 LEC con suspensión de los procesos de acción individual de nulidad de cláusula abusiva, hasta que recayera sentencia firme en el proceso de cesación instado por ADICAE ante el Juzgado de lo Mercantil núm. 11 de Madrid (procedimiento 471-2010), vino a declarar, en interpretación del art. 7 de la Directiva 93/13/CEE, que tal precepto se refiere a la obligación de los Estados miembros de adoptar medidas “eficaces” en defensa de los consumidores, subrayando las diferencias existentes entre las acciones de cesación, que tienen carácter preventivo y finalidad disuasoria, y las acciones individuales, encaminadas a la protección de los mismos, añadiendo que la articulación de ambas no puede hacerse de modo que cause merma en los derechos de los consumidores (STJUE, apartado 29), debiendo cada Estado asegurar que sus reglas satisfagan los principios de equivalencia y efectividad (STUE, apartado 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según la citada resolución, el derecho del consumidor individual se considera incumplido al producir una vinculación de dicho derecho con el resultado de la acción de cesación “incluso cuando decida no participar en la misma” y sin poder tener en cuenta las circunstancias concurrentes en cada asunto (STJUE, apartado 37), en contra de lo dispuesto a su vez en el art. 4.1 de la Directiva 93/13/CEE, la cual fija que el carácter abusivo de la cláusula se aprecie atendiendo a tales circunstancias. También se ordena así en el art. 82.3 del texto refundido de la Ley general para la defensa de los consumidores y usuarios, del que hace cita la Sentencia del Pleno de la Sala Primera del Tribunal Supremo núm. 241/2013, de 9 de mayo, FFJJ 235 a 238 y 246, para reconocer que esta regla de juicio por fuerza debe matizarse al resolver demandas de cesación.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 la vista del extenso análisis efectuado de las normativas nacional y del Derecho de la Unión Europea, se ha llegado a la conclusión en la STC 148/2016 de que no aparece en aquellas ninguna norma que habilite al juez para acordar la exclusión o archivo del proceso de nulidad individual por la mera admisión a trámite de una acción de cesación de la misma cláusula, resultando más bien claras las expresiones del legislador español y europeo en sentido contrario a esa tesis restrictiva del derecho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de los postulados que preceden nos conduce, como se adelantó antes y de igual modo a lo razonado en la STC 148/2016, FJ 6, a la estimación de la presente demanda de amparo. En efecto, las resoluciones aquí impugnadas “prescindiendo del marco normativo propio de las acciones colectivas de cesación al que debía atenderse … han denegado la tutela jurisdiccional solicitada a través de la demanda de nulidad individual de cláusula abusiva, remitiendo a los actores a un proceso de cesación iniciado casi dos años antes en un Juzgado de Madrid por una asociación de consumidores. Para ello se aplican las reglas propias de otro tipo de acciones, las de reclamación de daños de los arts. 11.2 y 11.3 LEC y preceptos concordantes de esta última, excepto el que realmente importaba aquí: el apartado cuarto del art. 15 LEC, que como ya se ha visto, dispensa de adoptar las medidas de llamamiento y publicidad del proceso en todas las modalidades de acción de cesación, con desaparición, así, de toda posible carga procesal del reclamante individual por tener que acudir al proceso de cesación, cuyas disposiciones (Ley de condiciones generales de la contratación y texto refundido de la Ley general para la defensa de los consumidores y usuarios) no prevén siquiera la legitimación de afectados individuales, aunque éstos podrían confiar su caso a alguna de las entidades legitimadas como pretensión acumulada, lo que aquí sin embargo no sucedió.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si los aquí recurrentes no eran parte en ese proceso de acción colectiva, ni estamos en un supuesto de legitimación indirecta impuesta ex lege (como en el ámbito de la defensa colectiva de los derechos de propiedad intelectual y las entidades de gestión especializadas: SSTC 196/2009, de 28 de septiembre, FJ 3, y 123/2010, de 29 de noviembre, FJ 3), la conclusión lógica es que falta la identidad del elemento subjetivo necesario entre ambos procesos, el de cesación y el individual, para poder acordar la litispendencia” (FJ 6). Que en el proceso iniciado a instancias de ADICAE el órgano competente ordenara publicar la demanda (del que la entidad demandada en el proceso a quo 688-2013, apenas aportó la página del encabezado y la del suplico) en medios de comunicación nacional, resulta irrelevante, “pues lo cierto es que, a falta de una carga procesal impuesta por la ley, los aquí recurrentes no tenían que atender al emplazamiento efectuado, ni en ese ni en otro proceso de cesación en cualquier parte del territorio nacional, por más que apareciere impugnada una cláusula del mismo contenido que la suya, ni antes ni después de formalizar demanda individual de nulidad de su cláusula y solicitud de devolución de lo pagado por ella” [STC 148/2016,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aspecto objetivo, por su lado, la identidad entre el proceso individual y el colectivo resulta cuanto menos dudosa, por cuanto, la “demanda de cesación se configura por ley como instrumento de control abstracto de cláusulas ilícitas, y lo que se pretende con ella es que el profesional demandado deje de recomendarlas o suscribirlas con sus potenciales clientes. En este caso, la acción de cesación de ADICAE impugnaba, entre otras, la cláusula suelo cuyo contenido coincide con la firmada por los recurrentes años antes con la misma entidad bancaria. Pero lo cierto es que en ese proceso no se conoció de la cláusula suelo de ‘su’ contrato, ni de las circunstancias concurrentes en su celebración (arts. 4.1 de la Directiva 93/13/CEE, y art. 82.3 del texto refundido de la Ley general para la defensa de los consumidores y usuarios), como por ejemplo el cumplimiento del principio de transparencia. El objeto controvertido por tanto entre ambos procesos es similar, pero no idéntico. Ello no obsta, por supuesto, a que el Juzgado a quo, al dictar Sentencia sobre el fondo, deba de tener en cuenta los pronunciamientos ante todo del Tribunal Supremo, máximo intérprete de la legalidad ordinaria (art. 123 CE), en torno a la validez o nulidad de este tipo de cláusula. Pero extender de manera automática un efecto de cosa juzgada derivado de la estimación de la acción de cesación, a todas las cláusulas iguales insertas en la universalidad de contratos en vigor, además de no preverse en las normas que regulan dicha acción colectiva, puede llegar a atentar contra la autonomía de la voluntad del consumidor que no desee tal nulidad en su contrato, en los términos observados antes por nuestro Tribunal Supremo y el Tribunal de Justicia de la Unión Europea. O cercenar las posibilidades de su impugnación individual si la demanda de cesación se desestima por mor de una línea de defensa jurídica de la entidad actora, distinta de la que hubiera sostenido el reclamante individual con base en las circunstancias concurrentes sólo por él conocidas. Los Autos recurridos en amparo, por lo demás, citan pero no aplican el art. 11.1 LEC, que precisamente garantiza el ejercicio de acciones individuales —en este y múltiples ámbitos— con independencia de la promoción por las asociaciones de consumidores, de acciones en defensa de los intereses generales de éstos” [STC 148/2016,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tanto el otorgamiento del amparo que se solicita, declarando para ello la nulidad de los Autos recurridos, con retroacción de las actuaciones al momento inmediatamente anterior al de haberse dictado el Auto de 17 de febrero de 2014, para que el Juzgado de lo Mercantil a quo provea en términos que resulten respetuosos con el derecho fundamental declarado. Esto es, ordenando la continuación del procedimiento en primera instancia (juicio ordinario 688-2013) hasta su resolución por sentencia que resuelva el fondo de las pretensiones deducidas por las partes.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interpuesto por don Jordi Antoni Vives y doña María Inmaculada Cots Paltor,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Restablecerlos en la integridad de su derecho y, a tal fin, declarar la nulidad del Auto del Juzgado de lo Mercantil núm. 4 de Barcelona, de 17 de febrero de 2014 (procedimiento ordinario núm. 688-2013); así como la nulidad del Auto de la Sección Decimoquinta de la Audiencia Provincial de Barcelona, de 22 de octubre de 2014 (rollo de apelación núm. 260-2014).</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hasta el momento inmediatamente anterior al de dictarse el Auto de 17 de febrero de 2014, para que el Juzgado de lo Mercantil a quo provea a las actuaciones de una manera que resulte respetuosa con el derecho fundamental declarado, en los términos que fijamos en el anterior fundamento jurídico 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diciembre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