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7 de febrero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12 de septiembre de 2017, el Abogado del Estado, en representación del Presidente del Gobierno, interpuso recurso de inconstitucionalidad contra los artículos 3; 5, apartados primero a cuarto; vigésimo y vigesimocuarto; inciso final de la disposición adicional primera; disposición adicional quinta y las disposiciones transitorias segunda y tercera de la Ley de las Cortes de Aragón 10/2016, de 1 de diciembre, de medidas de emergencia en relación con las prestaciones económicas del Sistema público de servicios sociales y con el acceso a la vivienda en la Comunidad Autónoma de Aragón. Norma que fue publicada en el “Boletín Oficial de Aragón” núm. 237, el 12 de diciembre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se invocan los artículos 161.2 CE y 30 de la Ley Orgánica del Tribunal Constitucional (LOTC) a fin de que se produzca la suspensión de la aplicación exclusivamente de los artículos 20 y 24, y de la disposición transitoria segunda de la Ley 10/2016, de 1 de diciembre, de medidas de emergencia en relación con las prestaciones económicas del Sistema público de servicios sociales y con el acceso a la vivienda en la Comunidad Autónoma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octubre de 2017, el Pleno del Tribunal Constitucional, a propuesta de la Sección Cuarta, acordó admitir a trámite el recurso de inconstitucionalidad, dar traslado de la demanda y documentos presentados, conforme establece el artículo 34 LOTC, al Congreso de los Diputados y al Senado, así como a la Diputación General de Aragón y a las Cortes de Aragón, al objeto de que en el plazo de quince días pudieran personarse en el proceso y formular las alegaciones que estimaren convenientes. Asimismo, se tuvo por invocado por el Presidente del Gobierno el artículo 161.2 LOTC, lo que, a su tenor y conforme dispone el artículo 30 LOTC, produce la suspensión de la vigencia y aplicación exclusivamente de los preceptos citados en el escrito de interposición, esto es de los artículos 20 y 24, así como de la disposición transitoria segunda de la Ley de las Cortes de Aragón 10/2016, de 1 de diciembre, desde la fecha de interposición del recurso —12 de septiembre de 2017— para las partes del proceso y desde el día en que apareciera publicada la suspensión en el “Boletín Oficial del Estado” para los terceros, lo que se comunicó a los Presidentes de la Diputación General de Aragón y de las Cortes de Aragón. Por último, también se ordenó publicar la incoación del recurso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Presidenta del Congreso de los Diputados, mediante escrito registrado el día 19 de octubre de 2017, comunicó que la Mesa de la Cámara, en su reunión del 17 de octubre anterior, había acordado la personación en este procedimiento y dio por ofrecida su colaboración a los efectos del artículo 88.1 LOTC. Por escrito de la misma fecha, el Presidente del Senado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20 de octubre de 2017, la Letrada de las Cortes de Aragón, en la representación que legalmente ostenta de estas, presentó escrito de personación y solicitó una prórroga del plazo otorgado para formalizar el escrito de alegaciones. Por providencia de 23 de octubre de 2017, el Pleno acordó incorporar a las actuaciones el escrito presentado y prorrogar el plazo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2 de noviembre de 2017, la Letrada de la Comunidad Autónoma de Aragón, en la representación que legalmente ostenta del Gobierno de Aragón, presentó escrito de personación y solicitó una prórroga del plazo otorgado para formalizar el escrito de alegaciones. Por providencia de 6 de noviembre de 2017, el Pleno acordó incorporar a las actuaciones el escrito presentado y prorrogar el plazo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14 de noviembre de 2017, la Letrada de las Cortes de Aragón presentó sus alegaciones solicitando la desestimación del recurso de inconstitucionalidad. Mediante otrosí instó que, sin agotar el plazo de los cinco meses ex artículos 161.2 CE y 30 LOTC, este Tribunal diese audiencia a las Cortes de Aragón para formular alegaciones sobre la pertinencia de ratificar o levantar la suspensión de los artículos 20 y 24, así como de la disposición transitoria segunda de la Ley 10/2016, al amparo de lo dispuesto en el artículo 30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virtud de escrito registrado en este Tribunal el día 21 de noviembre de 2017, la Letrada del Gobierno de Aragón presentó sus alegaciones solicitando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22 de noviembre de 2017, el Pleno acordó incorporar ambos escritos de alegaciones a los autos y, en cuanto a la solicitud formulada por la Letrada de las Cortes de Aragón en el otrosí sobre la suspensión de los preceptos objeto del recurso, oír a las partes personadas y al Abogado del Estado para que, en el plazo de cinco días, expusieran lo que consideraran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 las Cortes de Aragón presentó sus alegaciones el día 29 de noviembre de 2017 interesando el levantamiento de la suspensión que pesa sobre los artículos 20, 24 y sobre la disposición transitoria segunda de la Ley 10/2016 por las razones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en primer lugar, el carácter excepcional del mantenimiento de la suspensión de la vigencia de los preceptos de una ley como premisa básica, pues toda ley de una Comunidad Autónoma goza de presunción de legitimidad, por ser fruto del ejercicio de la autonomía política y de la libre configuración del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la Letrada de las Cortes que recae sobre el Gobierno de la Nación la carga procesal de acreditar, para mantener la suspensión de la ley más allá de los cinco meses previstos constitucionalmente, la concurrencia de los graves prejuicios de imposible o muy difícil reparación que se causarían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analizada la doctrina constitucional sobre suspensión de la normativa autonómica, la Letrada de las Cortes de Aragón realiza una ponderación de las circunstancias del caso, a la luz de dicha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los perjuicios que el Abogado del Estado asocia en su escrito de interposición al levantamiento de la suspensión de los preceptos impugnados ya se contenían en la argumentación recogida en las impugnaciones de otras leyes autonómicas que se adoptaron en su día en materia de vivienda, cuando, sin embargo, la normativa aragonesa contiene medidas distintas que merecen una valoración particularizada, al igual que resulta necesario tener en cuenta, también, el tiempo transcurrido desde las primeras leyes autonómicas en la materia que fueron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la Letrada que las medidas recurridas ya han estado en vigor bastantes meses, sin que se hayan observado perjuicios irreparables para los intereses públicos que legitimen el mantenimiento de la suspensión. Así, las medidas suspendidas han estado en vigor durante 18 meses (del 18 de diciembre de 2015 al 19 de septiembre de 2016, a través de las previsiones contenidas en el Decreto-Ley 3/2015 y del 1 de enero de 2017 hasta el 12 de septiembre de 2017, en virtud de las previsiones impugnadas), pues sólo se impugnaron, tanto las contenidas en el Decreto-ley 3/2015, como las contenidas en la Ley 10/2016, después de haberse acudido al procedimiento previsto en el artículo 33.2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Letrada de las Cortes no parece que la aplicación práctica de las previsiones contenidas en la ley aragonesa puedan tener una potencialidad dañosa en el conjunto del sistema financiero por el solo hecho de que las personas definidas en la ley como grandes propietarios o las entidades financieras con viviendas desocupadas radicadas en Aragón, viviendas procedentes de procedimientos de ejecución hipotecaria, de pago o dación en pago de deudas con garantía hipotecaria, deban, sin perder su titularidad, ponerlas a disposición del sistema de vivienda de la Comunidad Autónoma, obligándose a aceptar como inquilinos de las mismas a las personas seleccionadas por la Administración entre las personas más vulnerables, con necesidad de una vivienda habitual, cuando se haya demostrado la insuficiencia de los convenios de colaboración voluntaria y de las viviendas del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escrito de la Letrada de las Cortes, las medidas articuladas por el Estado y las instrumentadas por la Comunidad Autónoma de Aragón en la Ley 10/2016 no son contradictorias entre sí, sino que son fruto del ejercicio de distintas competencias que “tienen elementos de tangencia”, sin que, a su juicio, sea este el momento en el que corresponda analizar la vindicatio potestatis de la normativa estatal, pues, en tal caso, se estaría prejuzgando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 propósito del supuesto de suspensión de los lanzamientos en los procesos judiciales o extrajudiciales de ejecución hipotecaria, en los que se trate de vivienda habitual de persona o unidad de convivencia de buena fe que se encuentren en supuestos de especial vulnerabilidad, medida prevista en el artículo 20 y en la disposición transitoria segunda de la Ley aragonesa 10/2016, ambos impugnados por el Estado, señala el escrito de la Letrada de las Cortes que coincide básicamente con lo ya establecido por el legislador estatal en el artículo 1 de la Ley 1/2013, cuya última modificación fue llevada a cabo por Real Decreto-ley 5/2017, de 17 de marzo, por el que se modifica el Real Decreto-ley 6/2012, de 9 de marzo, de medidas urgentes de protección de deudores hipotecarios sin recursos, y la Ley 1/2013, de 14 de mayo, de medidas para reforzar la protección a los deudores hipotecarios, reestructuración de deuda y alquiler social. Fruto de dicha legislación, hasta 2020 no será posible el lanzamiento, cuando en un proceso de ejecución hipotecaria se adjudique al acreedor la vivienda habitual de personas que se encuentren en situación de especial vulnerabilidad y en las circunstancias económicas previstas también en la Ley estatal 1/2013, por lo que la novedad sustantiva del artículo 20 de la Ley aragonesa 10/2016 se refiere a que hace extensiva dicha suspensión a los procedimientos de desahucio por impago de alquiler cuando, encontrándose la persona o unidad de convivencia en idéntica situación de especial vulnerabilidad, el sujeto que ha iniciado el proceso de lanzamiento cumpla alguna de las condiciones allí especificadas.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ese contexto normativo, alega la Letrada de las Cortes que la suspensión de los lanzamientos prevista por el legislador aragonés y considerada genéricamente (art. 20.1, 20.3, y disposición transitoria segunda) no puede causar ningún perjuicio irreparable a los intereses públicos, sin imputarlo, en su caso, también al artículo 1 de la Ley 1/2013, de 14 de mayo, de la que es reproducción. Y, en cuanto a la ampliación al supuesto de desahucio por impago de alquileres llevada a cabo asimismo por la Ley aragonesa (art. 20.2 y 20.4), no tiene esa potencialidad dañosa, sino que ha sido considerada el complemento indispensable para atribuir verdadera eficacia a la legislación estatal, sin crear una diferencia de trato injustificada entre propietarios y arrendatarios de vivienda habitual objeto de procesos de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 continuación, el escrito de la representante de las Cortes que el entorno económico no es ya tan adverso y el sistema financiero español se ha estabilizado. Los perjuicios alegados por el Abogado del Estado son exagerados, meramente hipotéticos, se fundamentan en consideraciones generales y abstractas, redactadas en 2013 a propósito de las primeras disposiciones autonómicas en la materia y arrastradas en las argumentaciones, que hacen caso omiso a la circunstancia de que el contexto económico ha cambiado.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la Letrada de las Cortes considerando que no pueden invocarse en este caso por el Abogado del Estado los mismos daños y perjuicios de imposible o difícil reparación que se pusieron de manifiesto, genéricamente, como en una cláusula de estilo, y se valoraron por el Tribunal Constitucional en los AATC 69/2014, de 10 de marzo (asunto: Ley del Parlamento de Navarra 24/2013, de 2 de julio, de medidas urgentes para garantizar el derecho a la vivienda en Navarra); 115/2014, de 8 de abril, y 32/2015, de 17 de febrero (ambos en relación con la Ley del Parlamento de Andalucía 4/2013, de 1 de octubre, de medidas para asegurar el cumplimiento de la función social de la vivienda); 135/2015, de 21 de junio (asunto: Ley 2/2014, de 20 de junio, de modificación de la Ley 2/2003, de 30 de enero, de vivienda en Canarias y de medidas para garantizar el derecho a la vivienda); 144/2016, de 19 de julio (asunto: Ley del Parlamento Vasco 3/2015, de 18 de junio, de vivienda); y 160/2016, de 20 de septiembre (asunto: Ley del Parlamento de Cataluña 24/2015, de 29 de julio, de medidas urgentes para afrontar la emergencia en el ámbito de la vivienda y la pobreza energética). Siendo distintas las medidas articuladas por el legislador aragonés y dado el tiempo transcurrido, con la consiguiente mejora del contexto financiero, no pueden decirse iguales los menoscabos de intereses públicos eventualmente derivados de la aplicación de los preceptos impugnados de la Ley 10/2016, por lo que el resultado de la ponderación que ha de realizar el máximo intérprete de la Constitución no debe ser el mismo que entonces.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la Letrada de las Cortes de Aragón que, en la Ley autonómica, no hay expropiación del uso de las viviendas desocupadas de determinadas entidades, es decir, no hay una transferencia coactiva y temporal de la titularidad de las viviendas. Nada de eso sucede en la regulación aragonesa, pues, como determinan los apartados segundo y tercero del controvertido artículo 24, se trata de una puesta de dichas viviendas a disposición de la Administración para que sea esta la que elija a los inquilinos, entre personas o unidades de convivencia de quienes les conste hallarse en situación de vulnerabilidad, quedando, no obstante, inalterada la titularidad de la vivienda. No hay privación del derecho de propiedad a los legítimos titulares de las viviendas desocupadas, sino imposición del deber de arrendárselas a quienes diga la Administración autonómica a cambio de un precio.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considera la Letrada que tampoco puede argumentarse con rigor que la suma de las medidas adoptadas en Aragón con las incluidas en otras leyes autonómicas pudiera ser la que perturbara, por su efecto acumulado, el buen funcionamiento del sistema financiero, dado que las otras leyes fueron suspendidas en su día, con lo que los perjuicios eventualmente acumulados sólo podrían valorarse de levantarse la suspensión de los preceptos de aquellas disposiciones autonómicas que continúan privados de vigencia.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mediante escrito registrado en este Tribunal con fecha 30 de noviembre de 2017, evacuó el trámite conferido interesando el mantenimiento de la suspensión,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88/2008, de 2 de abril, FJ 2, con cita de otros). Entiende, pues, que ha de procederse a considerar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el Abogado del Estado estima indudable que lo que habrá de dilucidarse es si la hipótesis que formula respecto a la probabilidad de los perjuicios que ocasionaría la aplicación de la norma recurrida está lo 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al respecto, sobre los graves e irreparables perjuicios que habría de ocasionar el levantamiento de la suspensión de la vigencia de los preceptos referidos con fundamento en una serie de informes que acompaña.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destaca el escrito del Abogado del Estado que, en el informe que se acompaña del Ministerio de Economía y Competitividad, se ofrecen las razones que avalan el mantenimiento de la suspensión de las normas impugnadas, teniendo exclusivamente en cuenta los perjuicios de imposible o difícil reparación que su eficacia puede producir. Junto con este documento, se acompañan dos informes, uno emitido por el Banco de España con fecha 8 de septiembre de 2016, y otro emitido por la Sociedad de gestión de activos procedentes de la reestructuración bancaria (SAREB), de fecha 7 de septiembre de 2016, que se aportaron en el procedimiento anterior (recurso de inconstitucionalidad 4952-2016), seguido contra el Decreto-ley 3/2015 porque mantienen, dada la similitud de la Ley, toda su vigencia. Junto a ello se aporta un nuevo documento, del Banco de España, emitido específicamente respecto de la Ley 10/2016, que ratifica la razones expresadas en el caso anterior. Subraya el Abogado del Estado que todas estas instancias referidas, así como la Comisión Europea y el sector financiero (así, las asociaciones que representan a bancos y cajas de ahorro), son unánimes a la hora de valorar negativamente el considerable impacto que esta medida tiene sobre la situación financiera de las entidades, el crédito hipotecario, el mercado de cédulas hipotecarias y los compromisos internacionales asumidos por España, fundamentalmente el memorando de entendimiento firmado el 20 de julio de 2012, y su seguimiento, en el marco de la ayuda financiera otorgada a nuestro país por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dichos informes se acreditan, a juicio del Abogado del Estado, las consecuencias negativas para el interés público y para el sector financiero, en caso de que se levantara la suspensión de la vigencia y aplicación de los preceptos impugnados en este recurso de inconstitucionalidad, resultando especialmente preocupante el impacto de la norma aragonesa en la actividad y en el plan de negocio de la SAREB, instrumento clave del programa de reestructuración del sector financiero español derivado de los compromisos internacionales adquiridos por nuestro país en el marco de la asistencia financiera recibida en 2012, por el efecto acumulativo de las iniciativas autonómicas con el mismo contenido. En concreto, el levantamiento de la suspensión podría acarrear perjuicios de muy difícil reparación, por cuanto, a su entender, afectan de modo directo y expreso a la finalidad y actividad de la SAREB, cuyo éxito es garantía de que la reestructuración de las entidades de crédito, que se ha realizado en los últimos meses, se lleve a cabo mediante un adecuado reparto de costes y minimizando el riesgo para los contribuyentes.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señala el Abogado del Estado, que la eventual aplicación de los preceptos de la Ley impugnada puede determinar un incremento de los costes de reestructuración asumidos por el Estado, sin añadir un mayor nivel de protección social a los deudores hipotecarios sin recursos respecto de la ya garantizada por la normativa estatal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subraya el Abogado del Estado, que el artículo 20 de la norma autonómica introduce en el ordenamiento aragonés un supuesto especial de suspensión automática e incondicionada en los procesos de ejecución hipotecaria que no está previsto en la legislación estatal y que es muy similar al que el Decreto-ley aragonés 3/2015 preveía en su artículo 9, cuyo ámbito de aplicación se ve ahora ampliado, al extenderse la suspensión a los procedimientos de desahucio por impago del alquiler.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régimen de suspensión se completa con la previsión contenida en la disposición transitoria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artículo 24 de la norma autonómica impone a determinados propietarios de viviendas desocupadas un deber jurídico concreto, consistente en cederlas a la Comunidad Autónoma a fin de que esta pueda ponerlas a disposición de personas con necesidad de alojamiento y que se encuentren en situación de vulnerabilidad.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Abogado del Estado cómo la proliferación de normas autonómicas sobre esta extremo ha ocasionado un impacto cada vez más amplio en la estabilidad del sistema financiero español. Tras enumerar las diferentes normas autonómicas similares a la aquí impugnada, recuerda el Abogado del Estado que este Tribunal ha acordado el mantenimiento de la suspensión de la mayoría de los preceptos impugnados y, a tal efecto, reproduce los argumentos recogidos en los AATC 69/2014, FJ 10; 115/2014, FJ 5, y 144/2016, 160/2016.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 a continuación, el escrito del Abogado del Estado los intereses particulares afectados por el mantenimiento de la suspensión y destaca que dicho mantenimiento no causará perjuicio a las personas en situación de especial vulnerabilidad social, pues el Estado ha reaccionado ya ante esta realidad, a lo que agrega que la concurrencia de las medidas adoptadas por la Ley autonómica, lejos de coadyuvar al objetivo de mejorar la situación de las personas que no disponen de vivienda, pueden resultar en su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examinar las normas dictadas por el Estado para proteger a los colectivos más vulnerables señala el escrito del Abogado del Estado que la norma aragonesa —al igual que las otras normas autonómicas anteriormente referidas— se diferencia fundamentalmente de las normas estatales en la estructura jurídica que soporta las medidas de protección. La normativa de ámbito nacional contempla la suspensión temporal de los procedimientos de ejecución, complementada con un esquema de adhesión voluntaria (código de buenas prácticas). Las normas autonómicas, por su parte, descansan en un procedimiento coercitivo (concretamente, la previsión de un régimen sancionador sobre incumplimientos de la obligación de cesión obligatoria del derecho de uso de viviendas desocupadas en el caso de la norma aragonesa).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la coexistencia de dos regímenes —estatal y autonómico/foral— con idéntica finalidad, pero distinta articulación jurídica, hace previsible que surjan conflictos de aplicación que pongan en riesgo, tanto la deseable seguridad jurídica como la propia finalidad de protección perseguida por estas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el escrito examinando el fundamento de los perjuicios irreparables al interés general que produciría el levantamiento de la suspensión y que se acreditarían por los informes aportados de la Secretaria General Técnica del Departamento ministerial y del Banco de España. Afirma el Abogado del Estado que la aplicación de la Ley impugnada es susceptible de causar graves perjuicios al sistema financiero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señala, en primer lugar, el riesgo de incumplimiento de los compromisos de nuestro país de carácter internacional, pues, si bien el memorando de entendimiento sobre condiciones de política sectorial financiera de 20 de julio de 2012 (“MoU”) finalizó con éxito en enero de 2014, el Reino de España —mientras no devuelva, al menos, el 75 por 100 de la ayuda financiera recibida del mecanismo europeo de estabilidad (“MEDE”)— se encuentra dentro del denominado marco de vigilancia post-programa.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refiere, la Comisión Europea señaló que el Decreto-ley 6/2013 de la Junta de Andalucía había generado incertidumbres legales y económicas sobre los bancos españoles, con posibles efectos negativos sobre la estabilidad del sistema financiero español en su conjunto, ya de forma directa (por las posibles sanciones a entidades de crédito y la medida de expropiación temporal del uso de las viviendas dadas en garantía), ya de forma indirecta (por la reducción del apetito inversor en el sector inmobiliario español y el deterioro del valor de las carteras de las entidades de crédito y de la capacidad de estas de financiarse mediante cédulas hipotecarias).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Agrega, en este sentido, que la Comisión Europea también destacó el potencial impacto negativo de iniciativas autonómicas de protección de los deudores hipotecarios para las actividades de la SAREB, tanto de forma directa (sanciones por inmuebles deshabitados) como indirecta (por el aumento de la incertidumbre que puede desincentivar las ofertas de potenciales compradores y deteriorar el valor de la cartera de activos de la SAREB). Añade que las inquietudes manifestadas por las autoridades internacionales sobre el impacto de la Ley impugnada son compartidas, también, por el Banco de España, por lo que la aplicación de los preceptos objeto de suspensión de la Ley impugnada puede determinar un incremento de los costes de reestructuración asumidos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nada se opone a que las normas autonómicas contemplen actuaciones complementarias, como, por ejemplo, la financiación con sus recursos económicos a las personas y familias en dificultades, pero lo que no pueden es establecer mecanismos que interfieran y perjudiquen las medidas adoptadas por el Estado. Este criterio ha sido acogido en la STC 93/2015, de 14 de mayo de 2015, cuando, en el fundamento jurídico 18, se hizo mención al menoscabo de las competencias estatales por parte del Decreto-ley 6/2013, dictado por la Junta de Andalucía, de contenido similar a la ley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escrito del Abogado del Estado, la aplicación de algunas disposiciones de la Ley impugnada, y en particular la suspensión de los desahucios y la expropiación temporal del derecho de uso, podrían lastrar las iniciativas de venta de paquetes de activos, en detrimento del objetivo último de la SAREB, y generar mayor incertidumbre por deterioro del valor de las carteras de activos.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medidas introducidas por los preceptos impugnados suponen un deterioro de la posición financiera de las entidades de crédito, en tanto que suponen un coste directo para estas o implican un deterioro del valor de determinadas partidas en sus balances. Debe tenerse en cuenta que la ley afecta particularmente a las entidades financieras y, por ello, este sector se verá especialmente afectado en la medida en que recibe, como consecuencia de ejecuciones hipotecarias o de convenios con los deudores hipotecarios, un porcentaje elevado de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insiste en que no se trata de una norma aislada, sino que se une a otras similares aprobadas en los últimos años a nivel autonómico que, de mantenerse en vigor, podrían agravar aún más, de forma combinada, los efectos negativos para el sector financiero.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el artículo 24 de la norma aragonesa prevé la cesión obligatoria de viviendas desocupadas, propiedad de entidades financieras, sociedades inmobiliarias bajo su control y la SAREB, por un período no determinado, a fin de incorporarlas al fondo social de vivienda de Aragón y dar respuesta a las necesidades de alojamiento de personas en situación de vulnerabilidad, cuya determinación está pendiente de desarrollo reglamentario. En cuanto a las condiciones económicas en que debe realizarse la cesión de la vivienda a la Administración, la Ley impugnada establece que las rentas aplicables serán determinadas mediante Orden del titular del Departamento competente en materia de vivienda, no pudiendo ser ésta superior al treinta por ciento de los ingresos de la persona o unidad de convivencia (la diferencia entre la renta máxima que abonará la persona o unidad de convivencia y la renta aplicable de que se trate la abonará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Abogado del Estado, desde la perspectiva de las entidades de crédito afectadas por la medida, cabe esperar que se genere una mayor incertidumbre por deterioro del valor de las carteras de activos. Además, una cesión temporal forzosa del uso de las viviendas obtenidas en garantía de créditos hipotecarios reduce la eficacia de dicha garantía para enjugar las pérdidas derivadas del impago del prestatario, con el efecto inmediato de la reducción en el valor de la deuda que podría recuperarse (efecto que dependería del importe a recibir por el sujeto propietario,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entiende el Abogado del Estado que las medidas podrían también tener un impacto sobre las emisiones de cédulas hipotecarias y otros valores garantizados por préstamos hipotecarios, debido al deterioro de la calidad de la garantía subyacente que dificultará la capacidad de financiación de las entidades de crédito; en concreto cabe esperar un descenso de la cotización de los títulos, un incremento de los costes de financiación de las entidades junto con un aumento de dificultades para refinanciar los títulos a medida que vayan venciendo.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aplicación de la norma podría también generar mayores costes para las entidades, en caso de incumplimiento o demora de la obligación de poner a disposición de la administración las viviendas en los supuestos previstos en la norma, como consecuencia del régimen sancionador establecido, lo que, en su caso, afectaría a la evolución de los márgenes y los resultados de las entidades. Según pone de relieve, todo lo anteriormente expuesto tiene indudablemente un efecto directo sobre la cartera actual de cédulas hipotecarias, que constituye una de las fuentes más importante de financiación de préstamos hipotecarios de las entidades. Dado el menor valor de la garantía, los inversores exigirán un mayor volumen de préstamos que respalde las cédulas emitidas.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examina el escrito del Abogado del Estado los efectos del artículo 20 de la Ley impugnada. El artículo 20 de la Ley, al igual que el artículo 9 del Decreto-ley 3/2015, al ordenar la suspensión de los lanzamientos en procesos judiciales o extrajudiciales de ejecución hipotecaria de personas en situación de especial vulnerabilidad, cuando su vivienda habitual se adjudique al acreedor o a un tercero por él propuesto, hasta que se ofrezca una alternativa habitacional por parte de la administración —a lo que la Ley impugnada ha incrementado su objeto a los desahucios por falta de pago de alquiler—, entra en conflicto evidente con las previsiones equivalentes de la Ley estatal y lo hace sin el contexto del conjunto de medidas adoptadas por el Estado, creando una gran inseguridad jurídica y afectando fundamentalmente a las entidades financieras, además de a los acreedores no institucionales.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 el Abogado del Estado lo expresado por la STC 93/2015, de 14 de mayo, que resolvió el recurso de inconstitucionalidad interpuesto contra el Decreto-ley de la Junta de Andalucía 6/2013, de 9 de abril, de medidas para asegurar el cumplimiento de la función social de la propiedad de la vivienda, en relación con las expropiaciones de uso de la vivienda desocupada establecidas en dicha norma, medida que es equiparable a la suspensión de lanzamientos prevista en la Ley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la previsión se establece en el artículo 20, el resto de los apartados, en la medida en que son instrumentales para la ejecución de la suspensión de lanzamientos, deben mantenerse en suspenso por conexión. Lo mismo sucede respecto de la disposición transitoria segunda, que establece el momento de la entrada en vigor de esta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con referencia al artículo 24 de la Ley, alega el Abogado del Estado que, como hacía antes el artículo 12 del Decreto-ley 3/2015, dicho precepto obliga, en su primer apartado, a las entidades financieras, las sociedades inmobiliarias que estén bajo su control y a la SAREB, a poner a disposición de la Administración de Aragón las viviendas situadas en el territorio de esa Comunidad Autónoma que sean de su propiedad y que provengan de procedimientos de ejecución hipotecaria, de pago o dación en pago de deudas con garantía hipotecaria, siempre que el parque de viviendas resultantes de los convenios regulados en el artículo 23, así como las viviendas del sector público resulten insuficientes para dar adecuada respuesta a las necesidades de alojamiento de personas, unidades de convivencia en situación de vulnerabilidad y que tales viviendas se encuentren desocupadas. De acuerdo con el escrito del Abogado del Estado, la ejecución de esta medida deteriora el valor de los activos adjudicados, en tanto que los compradores, sabedores de que la entidad podrá perder las viviendas si no se ocupan, exigirán precios más competitivos. Ello actuará en perjuicio de la situación financiera de las entidades afectadas por la reestructuración, dado el menor valor de mercado relativo de dichas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cesión obligatoria de viviendas para su alquiler, como sucede en las otras normas autonómicas en las que se acuerda la expropiación temporal, supone que las entidades a las que alcanza el proceso de reestructuración inmobiliaria, no podrán llevar a cabo la venta de sus viviendas adjudicadas, por estar afectadas por esta medida, al tiempo que mantendrán su titularidad sobre las mismas. Ello implica que dichas viviendas deberán permanecer en el balance de las entidades.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afirma el Abogado del Estado, que resultan de aplicación íntegra las razones que llevaron al Tribunal al mantenimiento de la suspensión de los preceptos equivalentes del Decreto-ley 3/2015 en el ATC 18/2017,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diligencia de ordenación de 2 de enero de 2018 se hace constar que solamente han presentado escrito de alegaciones sobre mantenimiento o levantamiento de la suspensión el Abogado del Estado y la representación legal de las Cortes de Aragón.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los artículos 20 y 24, así como de la disposición transitoria segunda de la Ley 10/2016, de 1 de diciembre, de medidas de emergencia en relación con las prestaciones económicas del Sistema público de servicios sociales y con el acceso a la vivienda en la Comunidad Autónoma de Aragón, preceptos que se encuentran suspendidos en su aplicación como consecuencia de la invocación de los artículos 161.2 CE y 30 de la Ley Orgánica del Tribunal Constitucional (LOTC), al promoverse el recurso de inconstitucionalidad contra dichos preceptos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las Cortes de Aragón ha solicitado el levantamiento anticipado de la suspensión, conforme ha quedado expresado en los antecedentes, mientras que el Abogado del Estado se opone a esta pretensión e interesa que se mantenga la suspensión, con una argumentación que, en relación a algunos de los preceptos, es sustancialmente coincidente con la expuesta en los incidentes cautelares que fueron resueltos por este Tribunal, con el mantenimiento de la suspensión de los preceptos impugnados de las leyes autonómicas correspondientes, en los AATC 69/2014, de 10 de marzo (en el recurso contra diversos preceptos de la Ley 24/2013, de 2 de julio, de Navarra, de medidas urgentes para garantizar el derecho a la vivienda); 115/2014, de 8 de abril (en el recurso contra diversos preceptos de la Ley 4/2013, de 1 de octubre, de la Comunidad Autónoma de Andalucía, de medidas para asegurar el cumplimiento de la función social de la vivienda); 135/2015, de 21 de julio (en el recurso contra diversos preceptos de la Ley 2/2014, de 20 de junio, de modificación de la Ley 2/2003, de 30 de enero, de vivienda de Canarias y de medidas para garantizar el derecho a la vivienda); 144/2016, de 19 de julio (en recurso contra diversos preceptos de la Ley del Parlamento Vasco 3/2015, de 18 de junio, de vivienda); y 160/2016, de 20 de septiembre (en el recurso de inconstitucionalidad interpuesto contra determinados preceptos de la Ley del Parlamento de Cataluña 24/2015, de 29 de julio, de medidas urgentes para afrontar la emergencia en el ámbito de la vivienda y la pobreza energética). Y sobre todo en el ATC 18/2017, de 31 de enero en el recurso contra diversos preceptos del Decreto-ley del Gobierno de Aragón 3/2015, de 15 de diciembre, de medidas urgentes en materia de prestaciones económicas de carácter social, pobreza energética y acceso a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presente tipo de incidente de suspensión existe una consolidada doctrina constitucional, conforme a la cual la suspensión de la disposición o acto objeto de un conflicto es una medida cautelar dirigida a prevenir las repercusiones perjudiciales que fueran consecuencia de la ejecución de aquellas decisiones durante la tramitación del proceso, por poderse generar situaciones de imposible o difícil reparación para los intereses comprometidos. Es preciso ponderar, de un lado, los intereses en presencia, tanto el general y público como el particular y privado, de terceras personas afectadas, y, de otro, los perjuicios de imposible o difícil reparación que la medida, según su sentido, pudiera deparar.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de acuerdo con nuestra doctrina, esa valoración debe efectuarse mediante el estricto examen de las situaciones de hecho creadas por los preceptos discutidos y al margen de la viabilidad de las pretensiones que en la demanda se formulan, pues la interpretación de las reglas de deslinde competencial que al caso hagan debe, obviamente, quedar diferida a la sentencia que resuelva la controversia competencial. Por último, hemos destacado que no basta para decidir la suspensión la mera invocación de aquellos perjuicios, sino que es preciso demostrar o, al menos, razonar consistentemente su procedencia y la imposible o difícil reparación de los mismos, ya que debe partirse, en principio, de la existencia de una presunción de constitucionalidad en favor de las normas o actos objeto del conflicto (por todos AATC 100/2002, de 5 de junio, FJ 2; 355/2007, de 24 de julio, FJ 2; 225/2009, de 10 de diciembre, FJ 2; 44/2011, de 12 de abril, FJ 2; 86/2012, de 8 de mayo, FJ 2; 122/2015, de 7 de julio, FJ 2, y 18/2017, de 31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fin de abordar el examen de las alegaciones formuladas por el Abogado del Estado a favor de mantener la suspensión de la vigencia y aplicación de los preceptos recurridos de la Ley 10/2016, de 1 de diciembre, de medidas de emergencia en relación con las prestaciones económicas del sistema público de servicios sociales y con el acceso a la vivienda en la Comunidad Autónoma de Aragón, así como las de la representación procesal de las Cortes de Aragón en pro del levantamiento de la misma, resulta conveniente hacer una sintética referencia al contenido de dichos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primero del artículo 20 de la Ley 10/2016, de 1 de diciembre, declara la suspensión de los lanzamientos en procesos judiciales o extrajudiciales de ejecución hipotecaria en los que quede afectada una vivienda habitual de persona o unidad de convivencia de buena fe, que se encuentren en supuestos de especial vulnerabilidad.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apartado segundo del artículo 20 de la Ley 10/2016, declara la suspensión de los lanzamientos en procesos judiciales o extrajudiciales de desahucio por impago de alquiler cuando, encontrándose la persona o unidad de convivencia en el supuesto del apartado anterior, el sujeto que ha iniciado el citado proceso de lanzamiento cumpla como condición ser gran propietario de viviendas, conforme a lo regulado en esta Ley, o ser persona jurídica que hubiera adquirido esa vivienda después del 30 de abril de 2008 a causa de ejecución hipotecaria, acuerdo de compensación de deudas, o de dación en pago, o de compraventas que tengan como causa la imposibilidad de restituir el préstamo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transitoria segunda de la Ley 10/2016, dispone que la suspensión de los lanzamientos de su vivienda habitual de personas o unidades de convivencia en situación de especial vulnerabilidad prevista en el artículo 20 será de aplicación en los procesos judiciales o extrajudiciales de ejecución hipotecaria iniciados a la entrada en vigor de la Ley, siempre que en dicha fecha no se hubiere ejecutado el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24 de la Ley 10/2016, dispone que “las entidades financieras, las sociedades inmobiliarias bajo su control, la Sociedad de Gestión de Activos Procedentes de la Reestructuración Bancaria, S.A., y aquellos que se definen en esta ley como grandes propietarios de viviendas, deberán poner a disposición de la Administración de la Comunidad Autónoma de Aragón las viviendas, situadas en el territorio de Aragón, que sean de su propiedad y, en el caso de las de las entidades financieras, las sociedades inmobiliarias bajo su control o la Sociedad de Gestión de Activos Procedentes de la Reestructuración Bancaria, S.A., provengan de procedimiento de ejecución hipotecaria, de pago o dación en pago de deudas con garantía hipotecaria, cuando el parque de viviendas resultante de los convenios regulados… así como de las medidas de promoción… y las viviendas del sector público sean insuficientes para dar adecuada respuesta a las necesidades de alojamiento de personas o unidades de convivencia en situación de vulnerabilidad, y aquellas viviendas se encuentren desocupadas…”. El órgano competente designará a los destinatarios de dichas viviendas y la entidad titular de la vivienda estará obligada a otorgar título suficiente para el uso, bajo la fórmula preferente de arrendamiento o, excepcionalmente, otras que resulten admisibles en derecho, garantizando la correspondiente contraprestación. En caso de incumplimiento o demora por parte de la entidad titular de la vivienda, de las obligaciones de cesión previstas, se contempla la posibilidad de imposición de multas coercitivas.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de los preceptos impugnados es muy similar, aunque no coincida exactamente, con el de otras leyes autonómicas en materia de vivienda que han sido impugnadas ante este Tribunal, respecto de las que han recaído los AATC 69/2014, 115/2014, 135/2015, 144/2016, y 160/2016. Es, asimismo, análogo al contenido de los preceptos impugnados en el recurso de inconstitucionalidad 4952-2016, en el que se controvierte la constitucionalidad de determinados preceptos contenidos en el Decreto-ley del Gobierno de Aragón 3/2015, de 15 de diciembre, de medidas urgentes en materia de prestaciones económicas de carácter social, pobreza energética y acceso a la vivienda, que ha sido sustituido por la Ley impugnada en el presente proceso y respecto del que ha recaído el ATC 18/2017, de 31 de enero. La norma aragonesa comparte con la normativa referida de la misma Comunidad Autónoma —así como con la normativa de otras Comunidades— la previsión de medidas de suspensión de lanzamientos en determinadas circunstancias, así como la cesión forzosa de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daños y perjuicios de imposible o difícil reparación invocados en este caso por el Abogado del Estado son los mismos que se pusieron de manifiesto y se valoraron por este Tribunal en los referidos AATC 69/2014, 115/2014, 32/2015, 135/2015, 144/2016 y, sobre todo, 18/2017, por lo que el resultado de nuestra ponderación debe ser el mismo que entonces, y en consecuencia, debe mantenerse la suspensión de los artículos 20, 24 y disposición transitoria segunda de la Ley 10/2016, de 1 de diciembre, de medidas de emergencia en relación con las prestaciones económicas del sistema público de servicios sociales y con el acceso a la vivienda en la Comunidad Autónoma de Aragón, por las razones expuestas en los Autos de este Tribunal citados, que son, de forma sucinta, y proyectadas al presente caso,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Existe un perjuicio cierto para el interés general, que subyace en el buen funcionamiento y estabilidad del sistema financiero en su conjunto; en la medida en que los preceptos impugnados inciden, aunque en términos cuantitativamente reducidos, en el sistema financiero en su conjunto, generan una desconfianza en el sistema crediticio globalmente considerado, ponen en riesgo la estabilidad del sistema financiero, producen un menoscabo en la reestructuración bancaria apoyada con dinero público y en el cumplimiento por España de sus compromisos internacionales. Se advierte, también, del efecto acumulativo de dichos perjuicios, al sumarse a lo previsto por las otras leyes autonómicas en materia de vivienda anteriormente mencionadas que han sido impugnadas también por el Presidente del Gobierno (AATC 69/2014, FFJJ 5, 6 y 7; 115/2014, FJ 5; 135/2015, FJ 3; 144/2016, FJ 5, y 18/2017,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perjuicios para los intereses públicos se producen, según los informes del Banco de España y del Ministerio de Economía y Competitividad que han sido aportados por la Abogacía del Estado, “en aplicación del conjunto de medidas contenidas en los preceptos impugnados y no como consecuencia de cada una de ellas por separado, lo que determina la improcedencia a estos efectos de un examen individualizado de los mismos por su inescindible conexión y repercusión en el sistema financiero en su conjunto” (AATC 69/2014, FJ 7, 144/2016, FJ 5, y 18/2017, FJ 4). Como ya recordamos en el ATC 18/2017, FJ 4, desde la óptica que nos ocupa, poco importa que el programa de asistencia financiera a España, acordado por el Eurogrupo el 9 de julio de 2012 (memorando de entendimiento sobre condiciones de política sectorial financiera firmado el 20 de julio de 2012) con una duración de 18 meses, haya llegado a su fin de un modo satisfactorio. Las condiciones impuestas, lejos de estar consumadas, siguen vigentes y desplegando sus efectos, que han de sujetarse a los compromisos asumidos por España dentro de la Unión Europea, en particular en lo relativo a las ayudas de Estado. En el marco de esta supervisión, las autoridades europeas competentes ya han examinado medidas legislativas autonómicas similares a las contenidas en la Ley 10/2016, de 1 de diciembre; expresan su preocupación en cuanto que dichas medidas han generado incertidumbres legales y económicas sobre los bancos españoles, con posibles efectos negativos sobre la estabilidad del sistema financiero español en su conjunto, tanto de forma directa como indirecta. En particular, han destacado el potencial impacto negativo de las iniciativas autonómicas de protección de los deudores hipotecarios para las actividades de la Sociedad de gestión de activos procedentes de la reestructuración bancaria. Esos argumentos de las autoridades europeas son compartidos, en el momento presente y a pesar de la mejora del contexto financiero, por el Banco de España, como se refleja en el documento adjunto que aporta, junto a su escrito de alegaciones,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Asimismo, se produciría un daño para la seguridad jurídica, que no deriva de que las actuaciones de la Administración de la Comunidad Autónoma puedan quedar en entredicho si la resolución de fondo que se dicte en el recurso de inconstitucionalidad fuera favorable al Estado, sino de la mera convivencia sobre una misma realidad material de regímenes jurídicos dispares con idéntico objetivo (AATC 69/2014, FJ 8; 135/2015, FJ 3; 144/2016, FJ 5, y 18/2017,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debe tenerse en cuenta que, como bien se recuerda en el ATC 18/2017, FJ 4, recogiendo la alusión realizada en la STC 93/2015, de 14 de mayo, “el Estado ha dictado una normativa en la que, incidiendo de un modo limitado en el sistema de ejecución hipotecaria, atiende a la situación de quienes, por habitar viviendas constituidas como colateral de un préstamo que ha quedado impagado, están en riesgo de perderla. Adoptó al efecto el Real Decreto-ley 27/2012, de 15 de noviembre, que luego se ha convertido, en virtud de la tramitación parlamentaria como proyecto de ley, en la Ley 1/2013, de 14 de mayo, de medidas para reforzar la protección a los deudores hipotecarios, reestructuración de deuda y alquiler social; ha sido modificada parcialmente por el artículo 3 del Real Decreto-ley 1/2015, de 27 de febrero, de mecanismo de segunda oportunidad, reducción de carga financiera y otras medidas de orden social”, posteriormente convertido en la Ley 25/2015, de 28 de julio, “estas previsiones tienen una conexión relevante con el objetivo de normalizar los mercados hipotecarios y con ello asentar el funcionamiento del sistema financiero” y con las mismas el Estado define “la extensión de la intervención pública de protección de personas en situación de vulnerabilidad que considera compatible con el adecuado funcionamiento del mercado hipotecario y, a la vez, para evitar que el equilibrio que juzga oportuno se quiebre, impide que las Comunidades Autónomas en ejercicio de sus competencias propias adopten disposiciones que, con este mismo propósito de tutela, afecten de un modo más intenso a dicho mercado” (STC 93/2015,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perjuicios derivados de la suspensión y consistentes en el menoscabo del interés público al que responde la norma autonómica, esto es, la garantía del derecho a la vivienda y el interés privado de los colectivos más vulnerables que se verían beneficiados, resultan notoriamente reducidos, porque el Estado también ha dispuesto normas que atienden a estos mismos intereses (AATC 69/2014, FJ 9; 115/2014, FJ 5; 32/2015, FJ 6; 135/2015, FJ 3; 144/2016, FJ 5, y 18/2017,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el caso, como se recuerda en los AATC 69/2014, FJ 9, y 18/2017, FJ 4, del ya citado Real Decreto-ley 27/2012, de 15 de noviembre, de medidas urgentes para reforzar la protección a los deudores hipotecarios (derogado tras ser tramitado como ley por la igualmente citada Ley 1/2013, de 14 de mayo, de medidas para reforzar la protección a los deudores hipotecarios, reestructuración de deuda y alquiler social), en el que se contempla, entre otras medidas, la suspensión inmediata y por un plazo de dos años de los desahucios de las familias que se encuentren en una situación de especial riesgo de exclusión. Además, con base en el mandato contenido en la disposición final primera del Real Decreto-ley 27/2012, de 15 de noviembre, el Gobierno y las entidades de crédito firmaron un convenio para la creación de un fondo social de viviendas, propiedad de las entidades, ofrecidas en régimen de alquiler social, a personas en situación de especial vulnerabilidad que hubieran sido desalojadas de su vivienda habitual por el impago de un préstamo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disposiciones reseñadas cabría añadir otras de no menor relevancia, como el Real Decreto-ley 6/2012, de 9 de marzo, de medidas urgentes de protección de deudores hipotecarios sin recursos y el plan estatal de fomento del alquiler de viviendas, la rehabilitación edificatoria, la regeneración y renovación urbanas 2013-2016, aprobado por Real Decreto 233/2013, de 5 de abril. El Estado ha aprobado, también, el Real Decreto-ley 1/2015, de 27 de febrero, del mecanismo de segunda oportunidad, reducción de carga financiera y otras medidas de orden social, luego convertido en la Ley 25/2015, de 28 de julio, que contiene medidas de diferente naturaleza, encaminadas tanto a la protección de aquellos deudores de un crédito o préstamo garantizado con hipoteca sobre su vivienda habitual, como a ampliar la protección de colectivos especialmente vulnerables. Entre esas medidas cabe destacar la de segunda oportunidad en el ámbito concursal para deudores de buena fe con cargas, que incluye, por primera vez, a las personas físicas; la suspensión de las ejecuciones durante el plazo de negociaciones; la ampliación del colectivo protegido por el código de buenas prácticas para deudores hipotecarios y la prórroga adicional de los desahucios (que vencía en mayo de 2016) por dos años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la representante de las Cortes de Aragón que la normativa impugnada tiene una novedad sustantiva respecto de las normativas examinadas hasta ahora, pues el apartado segundo del artículo 20 hace extensiva la suspensión de los lanzamientos en los procesos judiciales o extrajudiciales de desahucio por impago de alquiler cuando, encontrándose la persona o unidad de convivencia en idéntica situación de especial vulnerabilidad, el sujeto que ha iniciado el citado proceso de lanzamiento cumpla determinadas condiciones. Sin embargo, medidas dirigidas a evitar los desahucios de la vivienda habitual, incluyendo el supuesto de impago del alquiler, también fueron recogidas, por ejemplo, en la Ley catalana 24/2015, de medidas urgentes para afrontar la emergencia en el ámbito de la vivienda y la pobreza energética y este Tribunal resolvió mantener la suspensión de las mismas (ATC 160/2016, de 20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suma, procede reiterar la misma conclusión sentada en los ya referidos AATC 69/2014, FJ 10; 115/2014, FJ 5; 144/2016, FJ 5; 160/2016, FJ 4, y 18/2017, FJ 4, en cuanto que “los razonamientos expuestos permiten concluir que en la ponderación de los intereses en presencia, y subrayando la especial relevancia de la medida de política económica general de estabilidad del sistema financiero, que tiene un indudable interés público prevalente, y la proyección de esta materia en el contexto internacional, apreciemos que debe mantenerse la suspensión de los preceptos impugnados, sin que la medida adoptada implique, en este caso concreto, un relevante menoscabo del resto de los intereses en presencia”.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los artículos 20 y 24, así como de la disposición transitoria segunda de la Ley 10/2016, de 1 de diciembre, de medidas de emergencia en relación con las prestaciones económicas del Sistema público de servicios sociales y con el acceso a la vivienda en la Comunidad Autónoma de Aragón.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don Fernando Valdés Dal-Ré, don Juan Antonio Xiol Ríos y don Cándido Conde-Pumpido Tourón al Auto de 7 de febrero de 2018, dictado en el incidente de suspensión del recurso de inconstitucionalidad núm. 4403-2017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y con el máximo respeto a la opinión de la mayoría, expresamos nuestra discrepancia con la decisión de ratificar la suspensión de los artículos 20 y 24 y la disposición transitoria segunda de la Ley 10/2016, de 1 de diciembre, de medidas de emergencia en relación con las prestaciones económicas del Sistema público de servicios sociales y con el acceso a la vivienda en la Comunidad Autónoma de Aragón.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Del mismo modo que en el Auto se reitera la ponderación recogida en los AATC 69/2014, de 10 de marzo, 115/2014, de 8 de abril, 135/2015, de 21 de julio, 144/2016, de 19 de julio, 160/2016, de 20 de septiembre, y 18/2017, de 31 de enero, valdrá ahora con la remisión a las razones expuestas en los votos particulares formulados a dichas resoluciones.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especial, en el Voto particular al ATC 18/2017, relativo al Decreto-ley del Gobierno de Aragón 3/2015, de 15 de diciembre, antecedente inmediato de la Ley impugnada en este proceso, ya se destacó que aquella decisión “se fundamenta en la misma concepción sobre la afectación directa al mercado hipotecario y el consiguiente riesgo para la estabilidad del sistema financiero que se mantuvo hace tres años (ATC 69/2014, de 10 de marzo), sin tener en cuenta los cambios desde entonces y la reconocida mejoría de la situación macroeconómica en España”. Una crítica que resulta incluso más fundada un año más tarde, al mantenerse invariado el criterio de ponderación que, basado en elementos coyunturales, parece no tener en cuenta ni la evolución favorable de la situación macroeconómica financiera de los distintos sectores en España (informe de estabilidad financiera. Banco de España, noviembre 2017) ni los resultados actuales de la Sociedad de gestión de activos procedentes de la reestructuración bancaria (informe de actividad, primer semestre 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Reiteramos por tanto que el prolongado impacto de estas resoluciones sobre las medidas autonómicas relativas a la suspensión de lanzamientos o las viviendas desocupadas constituye una concepción altamente perturbadora para el ejercicio de la competencia autonómica exclusiva en materia de vivienda. Y, adicionalmente, para el efectivo disfrute por los afectados de los derechos instituidos en las normas autonómicas suspendidas, con los serios perjuicios, ahora sí, para la vigencia del Estado social y su plasmación en el derecho a disfrutar de una vivienda digna y adecuada reconocido en el artículo 47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ocho de febrero de dos mil dieciocho.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