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junio de 2018, el Procurador de los Tribunales don Silvino González Moreno, en nombre y representación de doña M.S.C., y bajo la dirección del Letrado don Víctor Manuel Rodríguez Villares, interpuso recurso de amparo contra el Auto de la Sección Vigésima Primera de la Audiencia Provincial de Madrid de 16 de mayo de 2018, por el que se desestima el recurso de apelación núm. 560-2017 interpuesto contra el Auto del Juzgado de Primera Instancia núm. 2 de Getafe, de 1 de junio de 2018, dictado en el procedimiento de ejecución de títulos judiciales núm. 33-2017, en que se acuerda, entre otros aspectos, denegar la suspensión de la ejecución del desalojo de la vivienda que comparte con sus hijos menores de edad y con discapacidad en tanto se le adjudique una vivienda por los servicios sociales.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solicita por otrosí que no se publicite el presente recurso de amparo constitucional, habida cuenta de los intereses personales que se ventilan en 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164 CE establece la exigencia constitucional de publicidad de las resoluciones del Tribunal Constitucional. No obstante, la jurisprudencia constitucional ha establecido que esta exigencia no es de carácter absoluto y cabe ser excepcionada en determinados supuestos, entre los que se cuenta la eventual prevalencia de otros derechos fundamentales y garantías constitucionales con los que entre en conflicto, y que debe ser ponderada en cada caso (STC 114/2006, de 5 de abril, FJ 7); lo que ha sido concretado, en relación con la protección de los derechos reconocidos en el artículo 18.4 CE, en el artículo 86.3 de la Ley Orgánica del Tribunal Constitucional (LOTC), en la redacción dada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esos efectos, el Pleno de este Tribunal, mediante acuerdo de 23 de julio de 2015, por el que se regula la exclusión de los datos de identidad personal en la publicación de las resoluciones jurisdiccionales (“BOE” núm. 178, de 27 de julio de 2015) ha establecido que (i) el Tribunal preservará de oficio el anonimato de los menores y personas que requieran un especial deber de tutela, de las víctimas de delitos de cuya difusión se deriven especiales perjuicios y de las personas que no estén constituidas en parte en el proceso constitucional (art. 1); y (ii) podrá excepcionar, de oficio o a instancia de parte, la exigencia constitucional de publicidad de sus resoluciones, en lo relativo a los datos de identidad y situación personal de las partes intervinientes en el proceso cuando, a partir de la ponderación de circunstancias debidamente acreditadas concurrentes en el caso, la estime justificada por resultar prevalente el derecho a la intimidad u otros intereses constitucionales (art. 2). Con ese fin, en el citado acuerdo se dispone que para preservar el anonimato de las personas concernidas por la publicación de las resoluciones del Tribunal Constitucional, se sustituirá su identidad por las iniciales correspondientes y se omitirán los demás datos que permitan su identificación (art.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circunstancia de la afectación del proceso a un núcleo familiar compuesto por menores de edad y persona con discapacidad, determina que la inclusión de los datos de la madre podría facilitar la identificación de personas que requieren un especial deber de tutela con los perjuicios que ello podría ocasionar y que, de acuerdo con la jurisprudencia constitucional, son supuestos en que resulta procedente preservar el anonimato (en lo relativo a menores, SSTC 9/2015, de 2 de febrero, FJ 1; 57/2013, de 11 de marzo, FJ 1, o 41/2009, de 9 de febrero, FJ 1) y, (en lo relativo a personas con discapacidad, SSTC 84/2018, de 17 de agosto, 3/2018, de 22 de enero, FJ 1; 85/2017, de 3 de julio, FJ 1, o 31/2017, de 27 de febrero, FJ 1). Por tanto, procede que se excepcione la exigencia constitucional de publicidad de sus resoluciones en lo relativo a los datos de identidad de la demandante de amparo sustituyendo su identidad por las iniciales correspondientes.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Excepcionar en este procedimiento la exigencia constitucional de publicidad de sus resoluciones en lo relativo a los datos de identidad de la demandante de amparo sustituyendo sus datos de identificación por las iniciales correspondientes.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