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29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febrero de 2018 tuvo entrada en el registro general de este Tribunal escrito firmado por el Procurador de los Tribunales don Manuel Ortiz de Urbina Ruiz, en nombre y representación de Maricris de Chipi, S.L., en virtud del cual interponía recurso de amparo contra la providencia de 8 de enero de 2018 del Juzgado de Primera Instancia núm. 1 de Cieza en autos de ejecución hipotecaria núm. 128-2013, que inadmitió a trámite la solicitud de revisión de un decreto de la Letrado de la Administración de Justicia, de 30 de octubre de 2017, por no caber recurso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 la recurrente en amparo había interpuesto previamente recurso de reposición contra la diligencia de ordenación de 6 de julio de 2017, que acordaba acceder a la solicitud de subasta interesada por la parte ejecutante sobre una finca de su propiedad (finca destinada a uso industrial) y contra el decreto de subasta, de 10 de julio de 2017, denunciando la infracción del artículo 682.2.1 de la Ley de enjuiciamiento civil (LEC). El decreto de 30 de octubre de 2017 desestimó ese recurso y consideró que debía dispensarse el requisito del artículo 682.2.1 LEC “por no ser un presupuesto exigido por la normativa vigente en el momento de la constitución de dicho derecho real de garantía, puesto que la misma tan solo exigía que en la escritura de constitución de la hipoteca se determinara el precio en que los interesados tasaban la finca o bien hipotecado, para que sirviera de tipo de subasta, y dicho requisito está plenamente cumplido en la misma al haber acordado las partes de común acuerdo el precio de la tasación, no pudiendo pretender ahora ir contra sus propios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sociedad demandante denuncia en su recurso de amparo la vulneración del derecho a la tutela judicial efectiva sin indefensión (art. 24.1 CE), ya que, según afirma, el artículo 454 bis.1 LEC veda al órgano judicial la revisión de cuestiones relevantes del proceso, que vienen a ser decididas por el letrado de la Administración de Justicia y deberían ser en cambio revisadas por jueces y magistrados, a quienes compete dispensar la tutela judicial, creándose por ello una zona de inmunidad al control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 la subasta, ya que, de celebrarse la misma, el amparo perdería su finalidad al culminarse un proceso de ejecución hipotecaría bajo un tipo de subasta cuya legalidad está en tela de juicio, con riesgo de que se dicte un decreto de aprobación del remate en favor del mejor postor, siendo esa resolución irrecurrible y resultando de ella la eventual adjudicación del bien a un tercero de buena fe, lo que la haría irreivindicable y generadora de un perjuicio irreparable para la sociedad ahora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17 de septiembre de 2018, la Sección Cuarta de este Tribunal acordó admitir a trámite el recurso de amparo. Por providencia de la misma fecha, la Sección formó la oportuna pieza para la tramitación del incidente de suspensión y, conforme a lo dispuesto en el artículo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24 de septiembre de 2018, el Procurador don Manuel Ortiz de Urbina Ruiz, en nombre y representación de Maricris de Chipi, S.L., formuló sus alegaciones, afirmando que la subasta se celebró, siendo la mejor postura ofrecida la de la entidad ejecutante, Caja Rural de Albacete, Ciudad Real y Cuenca, pero encontrándose pendiente el dictado del decreto de adjudicación y la toma de posesión del bien.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la suspensión de las actuaciones judiciales de ejecución ya que, si se dictase el decreto de adjudicación y se diera la toma de posesión del bien, culminará el proceso de ejecución hipotecaria con un perjuicio irreparable para la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28 de septiembre de 2018, interesa la suspensión solicitada, toda vez que, pese a tratarse de una resolución de carácter patrimonial, puede acabar afectando a derechos de terceros de buena fe que decidirán participar en la subasta y luego vieran su derecho cuestionado, o que convirtieran el bien adquirido de buena fe en inatacable e irrecuperable en el caso de que se otorgara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3 de octubre de 2018, la Secretaria de Justicia de la Sala Segunda del Tribunal Constitucional mantuvo una comunicación verbal con el Juzgado de Primera Instancia e Instrucción núm. 1 de Cieza, que informó que, en dicha fecha, no se había dictado Auto de adjudicación de la finca subastada en la ejecución hipotecaria núm. 128-2013.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128-2013 seguido en el Juzgado de Primera Instancia núm. 1 de Cieza.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de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artículo 117.3 CE (por todos, ATC 133/2016, de 22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regla general es la improcedencia de la suspensión de las resoluciones judiciales, por la perturbación de la función jurisdiccional que la misma supone, salvo en los casos en los que se acredite tanto el carácter irreparable del perjuicio para los derechos fundamentales, como la pérdida de la finalidad del amparo en caso de mantenerse la ejecución de la resolución (entre otros, ATC 178/2015, de 2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como recordáramos en el ATC 290/2014, de 1 de diciembre, FJ 1, por perjuicio irreparable se ha de entender aquel que provoque que el restablecimiento del recurrente en el derecho constitucional vulnerado sea tardío y convierta el amparo en meramente ilusorio y nominal.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(recoge esa doctrina y las correspondiente referencias jurisprudenciales el reciente ATC 21/2018, de 5 de marzo, FJ 2). En el ámbito patrimonial, en suma, sólo hemos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Interesa subrayar que una consolidada doctrina constitucional, de la que es buena muestra el reciente ATC 58/2018, de 4 de junio, FJ 2, y los que en él se citan,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la doctrina antes recogida y la circunstancia que viene de subrayarse permiten considerar la procedencia de adoptar la medida cautelar de suspensión ya que, en otro caso, se podría materializar la adjudicación y entrega de la posesión del bien en perjuicio de la entidad aquí recurrente,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no se percibe en este momento procesal que la suspensión de la ejecución pueda entrañar una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resolución recurrida y de toda actuación judicial sucesiva que pudiera tener como efecto directo o derivado la adjudicación a terceros de la finca controvertida.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