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13 de diciembre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16 de marzo de 2018, la Procuradora de los Tribunales doña María Dolores Girón Arjonilla, en nombre y representación de doña Ana María Sendra Rodas, interpuso demanda de amparo contra el Auto núm. 106/2018 de la Sección Segunda de la Audiencia Provincial de Valencia, de 31 de enero de 2018, que desestimó el incidente de nulidad de actuaciones formulado contra la Sentencia de esa misma Sección núm. 734/2017, de 29 de noviembre de 2017, en la que, revocando la Sentencia absolutoria dictada el 5 de mayo de 2017 por el Juzgado de lo Penal núm. 17 de Valencia en el procedimiento abreviado núm. 347-2015, se condenó a la recurrente, como autora de un delito contra la ordenación del territorio, a la pena de seis meses de prisión con accesoria legal de inhabilitación especial para derecho de sufragio durante el tiempo de la condena y multa de doce meses con cuota diaria de seis euros, así como a la demolición de la obra realizada.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vivienda de referencia es propiedad de la recurrente y, según describen los hechos probados de las resoluciones judiciales recurridas, se encuentra en la parcela núm. 142 de la Partida de Carassols de la localidad de Riba-Roja del Turia, donde aquella realizó obras de sustitución o ampliación de una vivienda unifamiliar que ya existía cuando adquirió la propiedad, siendo la construcción inicialmente de 25 metros cuadrados y pasando a ser, tras la intervención, de 70 metros cuadrados. La demandante de amparo solicitó licencia al Ayuntamiento, que se la denegó, encontrándose dicha parcela en terreno que constituye suelo no urbanizable común de grado cero conforme al plan general de ordenación urbana del citado municipio.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aduce que la resolución judicial impugnada vulneró los derechos fundamentales a un proceso con todas las garantías, a la defensa y a la presunción de inocencia (art. 24.2 CE) por haberse producido una condena en segunda instancia, apreciando el dolo de la acusada, con valoración de elementos personales y sin inmediación.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 en su demanda la suspensión de la ejecución de los pronunciamientos condenatorios relativos a la demolición de la obra, toda vez que la misma le ocasionaría un perjuicio irreparable que haría perder al amparo su finalidad. Recuerda a tal fin que en esa tipología de situaciones el Tribunal ha aceptado la suspensión cuando la afectación de los bienes del recurrente o de sus derechos patrimoniales pudiera devenir definitiva o difícilmente reversible, y añade otros datos que estima justificativos de la suspensión, entre otros los siguientes: que nunca antes ha sido condenada, que los hechos sucedieron hace casi seis años, que el impacto de las obras controvertidas sobre el bien jurídico tutelado por el tipo del delito de ordenación contra el territorio es mínimo (puesto que ya existía una construcción anterior que simplemente fue sustituida y ampliada por la nueva), que esas obras se realizaron en un núcleo diseminado y ya consolidado donde existían otras viviendas similares (un núcleo de entre quince y veinte viviendas de las mismas características), en un suelo donde además existe agua, luz y servicio de recogida de residuos, o que el impacto medioambiental que causaron las obras es mínimo, más cuando en el plan general de ordenación urbana del municipio se permite realizar determinados tipos de obras en el suelo en el que se ejecutaron las ahora cuestionadas, resultando que las ejecutadas se rechazaron solo porque se consideró que el tamaño de las parcela no las permitía. Afirma, finalmente, que la suspensión no produciría perturbación de intereses generales ni de derechos o libertades de terceros y que la demolición siempre podrá practicarse si el recurso de amparo no llega 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26 de noviembre de 2018, la Sección Cuarta de este Tribunal acordó admitir a trámite el recurso de amparo, apreciando que concurre en el mismo una especial trascendencia constitucional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Sección acordó formar la oportuna pieza para la tramitación del incidente sobre suspensión y, conforme determina el artículo 56 de la Ley Orgánica del Tribunal Constitucional (LOTC), concedió un plazo común de tres días a la parte recurrente y al Ministerio Fiscal para que alegasen lo que estimaran pertinente sobre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diciembre de 2018, la recurrente presentó en el registro general de este Tribunal su escrito de alegaciones, manifestando que la demolición de la obra no se ha ejecutado aún al haber acordado el Juzgado de lo Penal interviniente estar a la espera de la resolución que adopte el Tribunal Constitucional sobre la admisibilidad del recurso de amparo. Por lo demás, reitera los diversos factores favorables a la suspensión que ofrecía el otrosí de la demanda ya reseñado.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11 de diciembre de 2018, el Ministerio Fiscal presentó sus alegaciones. Señala que en el presente caso la recurrente no ha acreditado que la obra que debe demolerse sea su vivienda habitual, pero que esta condición de vivienda habitual no es exigida por la doctrina constitucional para considerar la procedencia de la suspensión, y que, de cualquier modo, no cabe apreciar que la suspensión de la condena de la demolición de la vivienda edificada cause otros perjuicios a los intereses generales o a derechos fundamentales de terceros, por lo que solicita que se acceda a lo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expuesto en los antecedentes de esta resolución, la pretensión de suspensión que resolvemos se refiere al pronunciamiento condenatorio sobre la demolición de la edificación que realizó la demandante de amparo, contenido en la Sentencia núm. 734/2017 de la Sección Segunda de la Audiencia Provincial de Valencia, de 29 de noviembre de 2017, en virtud de la cual la recurrente en amparo resultó condenada como autora responsable de un delito contra la ordenación del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recordara recientemente el ATC 88/2018, de 17 de septiembre, es doctrina de este Tribunal que, en atención a la naturaleza especial de la jurisdicción de amparo, la suspensión prevista en el artículo 56 de la Ley Orgánica del Tribunal Constitucional (LOTC) se configura como una medida provisional de carácter excepcional y de aplicación restrictiva, siendo la regla general la improcedencia de la suspensión de las resoluciones de los poderes públicos y, en particular, de las judiciales, salvo en los supuestos en los que se acredite de forma fehaciente tanto el carácter irreparable del perjuicio para los derechos fundamentales como la pérdida de la finalidad del amparo en caso de mantenerse la ejecución de la resolución. Resulta, en definitiva, que la protección del interés general que subyace a la ejecución de lo juzgado debe ceder únicamente en aquellos supuestos en los que, de no acordarse la suspensión, el amparo perdería toda finalidad, razón que explica que, en principio, sólo proceda suspender aquellos pronunciamientos judiciales que no admiten la reparación o la restitución íntegra de lo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con relación a los perjuicios de carácter patrimonial o económico, hemos señalado que, por más que puedan producir efectos desfavorables a quien demanda amparo, estos no deben considerarse, en principio,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9/2018,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sólo si el recurrente en amparo justificase cumplidamente que el no otorgamiento de la suspensión le ocasionaría un perjuicio irreparable que haría perder al amparo su finalidad, y siempre que de dicha medida cautelar no se siga una perturbación grave de los intereses generales o de los derechos y libertades fundamentales de un tercero, procedería acordar la suspensión interesada. Por ello, como se dijera por ejemplo en el ATC 81/2012, de 7 de mayo, FJ 2, se ha acordado la suspensión en supuestos muy concretos, en los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este sea irrecuperable (por todos, AATC 565/1986, 52/1989, 222/1992, 183/1996, 5/1997, 52/1997, 287/1997, 99/1998 y 161/1999), así como de demolición de viviendas (ATC 225/1999, de 27 de septiembre)”, sin que en este último caso sea preciso siquiera el carácter habitual de la residencia (en esta ocasión, como dice el Ministerio Fiscal, no acreditado), según dispusimos en el ATC 165/2012, de 17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partir de las anteriores consideraciones y de acuerdo con la tesis mantenida por el Ministerio Fiscal, la ejecución de la demolición de la obra podría ocasionar en esta ocasión a la recurrente perjuicios irreparables que harían perder al amparo su finalidad, pues a la afectación de sus bienes y derechos patrimoniales puede devenir definitiva o difícilmente reversible o de muy difícil y costoso restablecimiento en ese caso, viéndose privada además aquella de la posesión y goce de la edificación controvertida si la demolición de la vivienda se materializase. A ello cabe añadir, por ser ésta condición de la suspensión, que no se percibe en este momento procesal, atendidas las circunstancias del presente caso, que la suspensión de la ejecución pueda entrañar una perturbación grave de los intereses generales o de los derechos fundamentales y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sin prejuzgar la decisión de fondo del recurso, procede estimar la solicitud de suspensión de la ejecución del pronunciamiento judicial que condena a la recurrente a la demolición de la obra.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Otorgar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