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6 de mayo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1373-2018, promovido por la Administración General del Estado, contra la sentencia de la Sección Tercera de la Sala de lo Contencioso-Administrativo del Tribunal Supremo de 7 de diciembre de 2017, recaída en el recurso de casación núm. 122-2016, y el auto de 29 de enero de 2018, que desestimó el incidente de nulidad de actuaciones promovido frente a la anterior. Han intervenido la entidad Asociación de Empresas Eléctricas (ASEME), representada por la procuradora de los tribunales doña Cecilia Díaz-Caneja Rodríguez y defendida por la letrada doña Irene Bartol Mir, la entidad Iberdrola S.A., representada por el procurador de los tribunales don José Luis Martín Jaurebeitia y defendida por el letrado don José Giménez Cervantes, y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marzo de 2018, el abogado del Estado, en representación de la Administración General del Estado, interpuso recurso de amparo contra las resoluciones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este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6 de mayo de 2014, la entidad Asociación de Empresas Eléctricas (ASEME), interpuso recurso contencioso-administrativo contra la Orden IET/350/2014, de 7 marzo, por la que se fijan los porcentajes de reparto de las cantidades a financiar relativas al bono social correspondientes a 2014, la cual tiene como base normativa el art 45.4 de la Ley 24/2013, de 26 diciembre, del sector eléctrico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5 de septiembre de 2015 ASEME presentó la demanda del recurso contencioso-administrativo, solicitando (i) que se declarase la ilegalidad y consiguiente inaplicación de la Orden IET/350/2014, de 7 marzo, y del art 45.4 de la LSE, por vulneración de lo dispuesto en el art 3 de la Directiva 2009/72 del Parlamento Europeo y del Consejo, de 13 de julio de 2009, sobre normas comunes para el mercado interior de la electricidad, por considerar que el mecanismo de financiación del bono social que se establece por las normas cuya inaplicabilidad se solicita es discriminatorio y no garantiza a las empresas eléctricas de la Unión Europea el acceso en igualdad de condiciones a los consumidores nacionales; ii) se declarase la ilegalidad y consiguiente anulación de la Orden IET/350/2014, de 7 marzo y del art 45.4 LSE 24/2013, por vulneración de los dispuesto en el art 9.3 y 14 CE, en la medida que el mecanismo de financiación del bono social que establecen esas normas resulta discriminatorio y por ello arbitrario; (iii) se declarase la ilegalidad y consiguiente anulación de la Orden IET/350/2014, de 7 marzo y del art 45.4 LSE 24/2013, por vulneración de los arts. 39 y 41 CE, al no configurarse el bono social como un coste a cargo de los presupuestos generales, siendo una ayuda social que debe recaer en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 citado recurso contencioso-administrativo, registrado con el núm. 181-2014, conoció la Sección Cuarta de la Sala de lo Contencioso-Administrativo de la Audiencia Nacional que, tras la tramitación del procedimiento, dictó sentencia el 2 de diciembre de 2015 desestimando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sentencia dictada por la Sala de lo Contencioso-Administrativo de la Audiencia Nacional, interpuso ASEME recurso de casación, del que, con el núm. 122-2016, conoció la Sección Tercera de la Sala de lo Contencioso-Administrativo del Tribunal Supremo que dictó sentencia el 7 de diciembre de 2017, estimando el recurso de casación y anulando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sentencia, la Sección Tercera de la Sala de lo Contencioso Administrativo del Tribunal Supremo estimó el recurso contencioso-administrativo interpuesto por ASEME y estableció el derecho de la recurrente a ser indemnizada por las cantidades abonadas en concepto de bono social en aplicación de la Orden IET/350/2014, de 7 marzo, que fue dictada en desarrollo del art 45.4 LSE, debiendo serle reintegradas todas las cantidades abonadas en ese concepto y correspondientes a 2014, con los intereses legales desde la fecha del pago hasta su reintegro.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se remite a las sentencias de la misma Sala de 24 de octubre de 2016 (recursos contencioso-administrativos núm. 960-2014 y 961-2014), 25 de octubre de 2016 (recurso núm. 16-2015) y 2 de noviembre de 2016 (recurso núm. 11-2015), en las que se declara inaplicable el régimen de financiación del bono social establecido en el artículo 45.4 de la Ley 24/2013, de 26 de diciembre, por resultar incompatible con la Directiva 2009/72/CE, del Parlamento Europeo y del Consejo, de 13 de julio de 2009, y se declara también inaplicables y nulos los artículos 2 y 3 del Real Decreto 968/2014, de 21 de noviembre, que desarrollan lo dispuesto en el citado artículo 45.4 de la Ley 24/2013, de 26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Tomando como muestra las resoluciones recaídas en el recurso contencioso-administrativo núm. 961-2014 recuerda lo que señala el fundamento jurídico 7 de la sentencia de 24 de octubre de 2016: “La Ley 24/2013 no contiene una relación nominal de las empresas o grupos de empresas que deben asumir la financiación del bono social. Fue la Orden IET/350/2014, de 7 de marzo, por la que se fijan los porcentajes de reparto de las cantidades a financiar relativas al bono social correspondientes a 2014 -Orden dictada en aplicación de lo previsto en el artículo 45.4 de la Ley 24/2013 , pero antes de que se hubiese producido el desarrollo reglamentario de ésta mediante el Real Decreto 968/2014- la que vino a identificar a las entidades concernidas y a fijar los porcentajes de reparto de las cantidades a financiar relativas al bono social correspondiente a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impugnada también se refiere al auto de la Sala de lo contencioso-administrativo del Tribunal Supremo de 18 de septiembre de 2017 (recurso núm. 961-2014), que señala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así señalado en la propia sentencia que la Orden IET/350/2014 fue dictada en aplicación de lo previsto en el artículo 45.4 de la Ley 24/2013, y como sabemos, en el apartado 2 de la parte dispositiva de la sentencia se acuerda ‘2. Declarar inaplicable el régimen de financiación del bono social establecido en el artículo 45.4 de la Ley 24/2013, de 26 de diciembre, por resultar incompatible con la Directiva 2009/72/CE...’. Por tanto, bien podría decirse que la Orden IET/350/2014 tiene el mismo vicio de origen que el Real Decreto 968/2014, de 21 de noviembre, por cuanto ambos traen causa de un precepto legal que ha sido declarado inaplicable por resultar incompatible con la norma comunitaria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Sucede, sin embargo, que la sentencia no declara la nulidad de la Orden IET/350/2014 -no era objeto de impugnación en el proceso ni se formulaba pretensión respecto de ella- y en los apartados 3/ y 4/ del fallo se declaran inaplicables y nulos los artículos 2 y 3 del Real Decreto 968/2014, de 21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pronunciamientos trascritos la sentencia del Tribunal Supremo examinada extrae la siguiente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“Vemos así que el vicio de origen que aqueja a la Orden IET/350/2014 aparece ya señalado de forma anticipada en los autos dictados en ejecución de las sentencias que declaran inaplicable el régimen de financiación del bono social establecido en el artículo 45.4 de la Ley 24/2013 e inaplicables y nulos los artículos 2 y 3 del Real Decreto 968/2014. Y si tales autos no declararon la nulidad de la Orden IET/350/2014 fue, sencillamente, porque la Orden no había sido objeto de impugnación en el proceso ni se había formulado pretensión respecto de ella. Además, en los propios autos quedaba señalado que no debíamos interferir entonces en lo que era objeto de otros litigios, pues la Orden IET/350/2014 había sido objeto de impugnación en diferentes recursos seguidos ante la Sala de lo Contencioso-Administrativo de la Audiencia Nacional y contra las sentencias recaídas en tales procesos se había interpuesto recursos de casación que se encontraban en aquel momento pendientes de resolución (recurso de casación 3127/2015, 3332/2015, 3374/2015, 3864/2015, 3875/2015, 3885/2015, 122/2016, 149/2016 y 714/2016)”.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esta sentencia la abogacía del Estado promovió incidente de nulidad de actuaciones en el que se alegaba vulneración del derecho a la tutela judicial efectiva y al proceso con todas las garantías, en cuanto al no planteamiento de cuestión prejudicial ante el Tribunal de Justicia de la Unión Europea y por no haberse planteado cuestión de inconstitucionalidad, e incongruencia omisiva. La Sección Tercera de la Sala de lo Contencioso del Tribunal Supremo desestimó dicho incidente de nulidad por auto de fecha 29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falta de planteamiento de la cuestión prejudicial, el órgano judicial rechaza que se hayan producido las vulneraciones objeto de denuncia, toda vez que en las sentencias antes citadas de 24 de octubre de 2016 (dos sentencias con esa fecha dictadas en los recursos 960-2014 y 961-2014), 25 de octubre de 2016 (recurso 16-2015) y 2 de noviembre de 2016 (recurso 11-2015), se explicitan las causas por las que no resulta precisa su formulación. En concreto, refiere que “no reiteraremos aquí las razones que dimos entonces, que la Abogacía del Estado conoce, sin duda, pues la Administración fue parte en todos aquellos procesos. Lo que interesa destacar ahora es que si el planteamiento de cuestión prejudicial ante el Tribunal de Justicia de la Unión Europea se consideró innecesario entonces, con mayor razón resultará innecesario el planteamiento de la cuestión prejudicial para declarar la nulidad de una Orden que fue dictada en desarrollo del precepto legal que entonces se declaró inaplicable por ser contrario al ordenamiento comunitario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razones análogas a las señaladas también se descarta la queja por no haberse planteado cuestión de inconstitucionalidad: “Una vez que por sentencia firme había sido declarado inaplicable el artículo 45.4 de la Ley 24/2013, por contravenir el Derecho de la Unión Europea, la constatación de que la Orden IET/350/2014 había sido dictada precisamente en desarrollo de aquel precepto legal llevaba directamente a la conclusión de que dicha Orden debía ser declarada nula, sin que para hacer tal pronunciamiento resultase necesario el previo planteamiento de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desecha la queja de haber incurrido en incongruencia omisiva, pues “si el motivo de nulidad se ciñe a la falta de examen en la sentencia de los argumentos esgrimidos por la Abogacía del Estado en su escrito de oposición del recurso de casación, lo cierto es que la razón dada en la sentencia para declarar nula la Orden IET/350/2014 —esto es, la existencia de pronunciamientos judiciales firmes que declaran inaplicable el precepto legal a que dicha Orden sirve de desarrollo— hacía innecesario el examen de aquellos argumentos de oposición, como innecesario se consideró también el examen de los motivos de casación formulados por la entidad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Administración General del Estado denuncia la vulneración del derecho a la tutela judicial efectiva (art. 24.1 CE) y del derecho a un proceso con todas las garantías (art. 24.2 CE), por cuanto el órgano judicial no planteó cuestión prejudicial ante el Tribunal de Justicia de la Unión Europea, pese haber declarado inaplicable el art. 45.4 LSE por considerarlo incompatible con el art. 3.2 de la Directiva 2009/72/CE.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destacar los aspectos más relevantes del procedimiento judicial, la parte recurrente justifica la especial trascendencia constitucional del recurso por considerar que el Tribunal Constitucional carece de doctrina consolidada respecto del criterio de identidad o evidencia al que los órganos jurisdiccionales deben sujetarse para poder, en aplicación de la jurisprudencia del Tribunal de Justicia de la Unión Europea, exonerarse de plantear cuestión prejudicial, con base en la existencia del “acto claro” o “acto aclarado”, por la similitud que el supuesto presenta con un caso ya resuelto por el Tribunal de Justicia de la Unión Europea, y poder apreciar directamente que una disposición interna con rango de ley es contraria al Derecho europeo. Esa temática ostenta una clara relevancia pues, conforme a la STC 232/2015, dejar de aplicar una ley interna sin previamente plantear cuestión prejudicial ante el Tribunal de Justicia de la Unión Europea, por entender que dicha ley es contraria al Derecho de la Unión Europea, vulnera el derecho a un proceso con todas las garantías, si existe una duda objetiva, clara y terminante sobre esa supuesta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aduce que no corresponde al Tribunal Constitucional controlar la adecuación de la actividad de los poderes públicos nacionales al Derecho de la Unión Europea, pero sí determinar si las resoluciones judiciales impugnadas son contrarias al derecho a la tutela judicial efectiva reconocido en el art. 24 CE. Y, desde esta perspectiva lo verdaderamente primordial consiste en delimitar cuál es el alcance de las facultades que esos órganos ostentan y la amplitud del margen de interpretación del que disponen para inaplicar directamente una norma interna con rango de ley, por considerarla contraria al Derecho europeo, sin plantear previamente cuestión prejudicial ante el Tribunal de Justicia de la Unión Europea. Según el demandante, lo novedoso del caso reside en que, por considerar aplicable al presente supuesto la doctrina del “acto aclarado”, la decisión del órgano judicial ha supuesto el apartamiento de una norma con rango de ley de aplicación al caso, de manera que el citado órgano se ha convertido en un “legislador negativo”, cuyas facultades de valoración resultan sumamente trascendentes desde la perspectiva del derecho garantizado por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la demanda se refiere exclusivamente a las sentencias del Tribunal Supremo a las que se remite la impugnada. En primer lugar, sintetiza las razones dadas por el órgano judicial para considerar inaplicable el modelo de financiación del bono social que prevé el art. 45.4 LSE; a saber, que es incompatible con el régimen jurídico establecido en el art. 3.2 de la Directiva 2009/72/CE, porque este precepto exige que las obligaciones de servicio público se definan claramente, sean transparentes, no discriminatorias y controlables y garanticen el acceso en igualdad de condiciones a los consumidores nacionales y, a su vez, porque el precepto inaplicado vulnera el principio de proporcionalidad, toda vez que la carga de la financiación se impone solamente a determinados agentes del sector eléctrico, de manera indefinida y sin ninguna compensación. La demanda sostiene que la argumentación que ofrece la sentencia impugnada para considerar innecesario el planteamiento de la referida cuestión prejudicial es meramente apodíctica y, por tanto, incurre en manifiesta falta de motivación que lesiona el derecho a la tutela judicial efectiva; y ello, porque el órgano judicial considera que el contenido de la sentencia del Tribunal de Justicia de la Unión Europea de 7 de septiembre de 2016 (asunto Anode), reproducido literalmente en alguno de sus párrafos, es trasladable al caso ahora examinado, pero no dice por qué razón lo es ni expone cuáles son esos criterios que resultan aplicables al presente caso, por lo que no se acierta a ver cuál es la semejanza con los considerandos de la sentencia del Tribunal de Justicia de la Unión Europea traída como parámetro de comparación.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afirma que la sentencia recurrida en esta sede aplica la doctrina del “acto aclarado” para justificar la falta de planteamiento de la cuestión prejudicial, pero estima que el criterio seguido es erróneo, pues no concurren las características o circunstancias que, conforme a la jurisprudencia consolidada del Tribunal de Justicia de la Unión Europea, determinan que resulte innecesaria la formulación de la cuestión prejudicial, pues ni puede imponerse con tal evidencia la similitud entre asuntos, de manera que no quepa albergar duda razonable sobre la solución de la cuestión, ni tampoco la cuestión suscitada es materialmente idéntica a otra anterior que hubiera sido objeto de una decisión prejudicial. Para la parte recurrente el Tribunal Supremo sustenta la aplicación al caso de la doctrina del “acto aclarado” en las sentencias recaídas en los asuntos Federutility y Anode que constituyen supuestos análogos que, conforme a la “doctrina Cilfit”, justifican la inaplicación del art. 45.4 LSE. Sin embargo, respecto de la sentencia del Tribunal de Justicia de la Unión Europea de 20 de abril de 2010 —asunto Federutility—, indica que la discriminación a la que se refieren sus parágrafos 45 y 46 nada tiene que ver con el trato peyorativo apuntado por los recurrentes en el caso que nos ocupa; en aquel asunto se planteó la posible discriminación que podría surgir por indiferenciación (que el tribunal remitente debe verificar), al imponer la normativa cuestionada la misma obligación de servicio público (ofrecer el precio de referencia) con independencia de que los suministradores sean o no mayoristas, lo que podría perjudicar a los suministradores de gas al detalle que no son simultáneamente mayoristas y beneficiar a los suministradores que sí reúnen tal condición, ya que estos últimos podrían verse inclinados a abusar de la ventaja que les proporciona la integración vertical, desplazando los menores ingresos del precio de referencia a los suministradores no mayoristas en las negociaciones entre unos y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administración esta cuestión no puede considerarse materialmente idéntica a la que se suscita en el presente caso, pues la supuesta discriminación que aprecia el tribunal a quo no trae causa de la indiferenciación sino de la diferencia de trato que, en perjuicio de determinadas empresas, establece la normativa inaplicada, al hacer recaer la financiación del bono social eléctrico sobre las matrices de determinados grupos empresariales que desarrollan simultáneamente las actividades de generación, distribución y comercialización. No hay, pues, identidad en el tipo de desigualdad ni tampoco en las situaciones y sujetos comparados. En apoyo de su tesis, la demandante cita una sentencia del Pleno de la Sala de lo Contencioso-Administrativo del Tribunal Supremo, concretamente la de fecha de 18 de noviembre de 2013, recaída en el recurso núm. 843-2013, en la que, a propósito del déficit de tarifa, se declaró la inhabilidad sustancial de la sentencia Federutility para ser invocada como supuesto idéntico en relación con la asunción de la financiación de ciertos costes del sector eléctrico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respecto a la segunda de las sentencias traídas a colación por el Tribunal Supremo, esto es, la sentencia del Tribunal de Justicia de la Unión Europea de 7 de septiembre de 2016 —asunto Anode— su doctrina no la considera aplicable al presente caso. Y ello porque, en aquel supuesto, los fines alegados para justificar la medida eran los de garantizar “la seguridad del suministro y la cohesión territorial”, que son distintos de los que se pretenden alcanzar mediante el bono social español, ya que éstos se refieren a la protección de los consumidores vulnerables, aspecto este que es completamente ajeno a la determinación de los componentes del precio del gas en aquel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lo expuesto, para la demandante tampoco cabe entender que las consideraciones que se formulan en el parágrafo 71 de la sentencia recaída en el asunto Anode, acerca de la proscripción de discriminación entre compañías de gas, de manera que “el sistema de designación de las empresas encargadas de las obligaciones de servicio público no puede excluir a priori a ninguna de las empresas que operan en el sector de la distribución de gas”, sean extensibles al caso ahora enjuiciado. La obligación de financiar el bono social no se aplica a unos operadores determinados a priori, de forma nominativa y con exclusión de otros, sino que tal obligación se establece cada año, con eficacia temporal limitada y en función de circunstancias objetivamente determinadas, de manera que no hay una predeterminación apriorística del elenco de obligados.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la demanda invoca algunos de los argumentos que figuran en el voto particular formulado por el magistrado disidente a la sentencia de 24 de octubre de 2016, consistentes, en síntesis, en que concurren diferencias sustanciales entre el caso resuelto por el Tribunal de Justicia de la Unión Europea y los presupuestos fácticos y jurídicos examinados en el recurso contencioso-administrativo tramitado por el Tribunal Supremo, por lo que no resulta aplicable la doctrina del “acto aclarado” a fin de eludir el planteamiento de la cuestión prejudicial en el presente caso y se aduce en la demanda que el dictamen de la comisión permanente del Consejo de Estado, de fecha 6 de noviembre de 2014, emitido respecto del inicial proyecto de orden, por la que se desarrollaba la metodología para la fijación de los porcentajes de reparto de las cantidades a financiar, relativas al bono social (que luego se convirtió, precisamente a resultas de las consideraciones sobre su rango realizadas en el citado dictamen, en el Real Decreto 968/2014, de 21 de noviembre), se pronunció en términos contundentes sobre la conformidad de la norma reglamentaria reguladora del bono social con el ordenamiento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para la administración recurrente se ha vulnerado el art. 24 CE porque: i) al resolver el Tribunal Supremo ha desconocido el sistema de fuentes, no aplicando una norma con rango de ley indebidamente, pues previamente debió plantear cuestión prejudicial ante el Tribunal de Justicia de la Unión Europea; ii) incurre en un déficit de motivación, ya que no explica suficientemente las razones por las que considera que concurre la circunstancia del “acto aclarado”, como razón que le excusa de aplicar la norma española sin previamente plantear cuestión prejudicial ante el Tribunal de Justicia y iii) el juez nacional ha resuelto el proceso inmiscuyéndose en un ámbito o competencia jurisdiccional ajeno, dando lugar a que la controversia sea decidida por un juez o tribunal distinto del querido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julio de 2018, la Sección Cuarta de este Tribunal acordó la admisión a trámite de la demanda de amparo presentada, “apreciando que concurre en el mismo una especial trascendencia constitucional (art. 50.1 LOTC) porque el recurso plantea un problema o afecta a una faceta de un derecho fundamental sobre el que no hay doctrina de este Tribunal [STC 155/2009, FJ 2 a)]”. En aplicación de lo dispuesto en el art. 51 de la Ley Orgánica del Tribunal Constitucional (LOTC), se acordó dirigir atenta comunicación a la Sección Tercera de la Sala de lo Contencioso-Administrativo del Tribunal Supremo a fin de que, en plazo que no excediera de diez días, remitiera certificación o fotocopia adverada de las actuaciones correspondientes al recurso de casación núm. 122-2016. Asimismo se acordó dirigir atenta comunicación a la Sección Cuarta de la Sala de lo Contencioso-Administrativo de la Audiencia Nacional, para que en el mismo plazo remitiese certificación o fotocopia adverada de las actuaciones correspondientes al recurso contencioso-administrativo núm. 181-2014 y procediese a emplazar a quienes hubieran sido parte en el procedimiento, a excepción de la parte recurrente en amparo, para que en el plazo de diez días pudiesen comparecer, si lo desean,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requeridas de los órganos judiciales, por diligencia de ordenación de la secretaría de justicia de la Sección Cuarta de este Tribunal de fecha 24 de septiembre de 2018, se acordó tener por personados y partes en el procedimiento al procurador don José Luis Martín Jaureguibeitia, en nombre y representación de Iberdrola, S.A., y a la procuradora doña Cecilia Díaz-Caneja Rodríguez, en nombre y representación de Asociación de Empresas Eléctricas (ASEME), ordenándose entender con ella las sucesivas diligencias, y, con arreglo al art. 52 LOTC, conceder a las partes personadas y al ministerio fiscal el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22 de octubre de 2018 el ministerio fiscal presentó su escrito de alegaciones en el que termina solicitando que se estime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relatar los antecedentes fácticos y resumir las alegaciones formuladas por la parte recurrente, argumenta el fiscal ante el Tribunal Constitucional lo que se sintetiza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Administración General del Estado ostenta legitimación, pues en el recurso de amparo se alega la vulneración de los derechos a la tutela judicial efectiva sin indefensión y al proceso debido, desde la perspectiva de las garantías procesales inherentes a los mismos que le son reconocidas a la administración como parte en los procesos judiciales; esto es “actuando al mismo tiempo un interés general que es el de la integridad del ordenamiento jurídico y de las normas legales que lo componen, dictadas por el Parlamento y que representan la voluntad popular ejercida a través del poder legislativo que la representa” (STC 58/2004,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ministerio fiscal explica el mecanismo del bono social que opera como una medida de protección de los consumidores de energía que son vulnerables, por cumplir determinadas condiciones sociales, de consumo y poder adquisitivo. Ese bono responde a las previsiones de la Directiva 2009/72/CE, en cuya virtud “los Estados miembros adoptarán las medidas oportunas para proteger a los clientes finales y, en particular, garantizarán una protección adecuada de los clientes vulnerables”. Seguidamente, trae a colación los antecedentes legislativos del bono social, comenzando por el Real Decreto-ley 6/2009, de 30 de abril, por el que se adoptaron determinadas medidas en el sector energético y se aprobó el bono social, que, en su preámbulo reflejaba el objeto al que respondía esa medida, y que en el art. 2.5 y la disposición transitoria segunda establecían el régimen de financiación del bono social. Esas disposiciones, recuerda el ministerio público, fueron enjuiciadas en la sentencia de la Sala Tercera del Tribunal Supremo de 7 de febrero de 2012, que consideró que ese régimen de financiación no cumplía las exigencias de transparencia, no discriminación, control y proporcionalidad exigidas por las normas de la Unión Europea; en concreto, por la Directiva 2003/54/CE. Por ello, el Tribunal Supremo resolvió la inaplicación de las disposiciones pertinentes del Real Decreto-ley citado, así como los de la Orden ITC 1723/2009, de desarrollo de aquel, sin plantear cuestión prejudicial ante el Tribunal de Justicia de la Unión Europea, por considerar que el sentido de la Directiva ya había sido aclarado en la sentencia de dicho tribunal europeo de 20 de abril de 2010, dictada en el asunto Federutility. Ello condujo a la Sala Tercera a declarar la inaplicabilidad del régimen de financiación del bono social establecido en las normas españolas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posterior del bono social se prevé en el artículo 45.4 de la Ley 24/2013, de 26 de diciembre, del sector eléctrico, más tarde modificada por el Real Decreto-ley 7/2016. Afirma el ministerio fiscal que esta disposición se corresponde con las previsiones del Real Decreto-ley 6/2009, pues establece que “será asumido por las matrices de los grupos de sociedades o, en su caso, sociedades que desarrollen simultáneamente las actividades de producción, distribución y comercialización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Más adelante, advierte de que la sentencia del Tribunal Supremo considera que los criterios reflejados en la exposición de motivos del Real Decreto-ley 9/2013 no justifican debidamente el sistema de financiación del bono social que, en síntesis, corre a cargo de las sociedades que realizan simultáneamente las actividades de generación, distribución y comercialización en el sector eléctrico. Tampoco, según la referida sentencia, aparece debidamente justificado el carácter no discriminatorio y proporcional de ese nuevo régimen de financiación, atendido el criterio que sostuvo la Abogacía del Estado en la contestación a la demanda, que se centraba en la especial posición que tienen, dentro del sector eléctrico, las empresas que constituyen un grupo integrado verticalmente y realizan, simultáneamente, las actividades ya indicadas, lo que les faculta para atemperar la incidencia de las obligaciones de servicio público puestas a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doctrina constitucional, la correcta aplicación del Derecho de la Unión Europea es una cuestión infraconstitucional que corresponde a la jurisdicción ordinaria, a quien también compete decidir sobre el planteamiento de las cuestiones prejudiciales ante el Tribunal de Justicia de la Unión Europea, de acuerdo a lo preceptuado en el art. 267 Tratado de funcionamiento de la Unión Europea. Ahora bien, lo expuesto no significa que las decisiones judiciales sobre ese particular estén exentas de cualquier control de constitucionalidad pues, por el contrario, están sujetas al canon de control que es propio de cualquier resolución judicial. No obstante, el ministerio fiscal advierte del especial control de constitucionalidad que procede efectuar respecto de aquellas resoluciones judiciales que no aplican una norma legal interna, por su apreciada contrariedad con el Derecho de la Unión, sin plantear cuestión prejudicial, ni tampoco cuestión de inconstitucionalidad. Afirma que en estos casos —y no en los que el órgano judicial aplica la norma interna sin plantear cuestión prejudicial, por estimarla conforme con el Derecho de la Unión Europea (STC 27/2013)— se pueden lesionar los derechos a la tutela judicial efectiva y al proceso debido. En apoyo de lo expuesto trae a colación la STC 232/2015, de 5 de noviembre, FJ 5, para poner de relieve que la inaplicación de una ley interna por entenderla incompatible con el Derecho de la Unión Europea, sin previamente formular cuestión prejudicial ante el Tribunal de Justicia de la Unión Europea, resulta contraria al derecho a un proceso con todas las garantías (art. 24.2 CE), siempre que exista “una duda objetiva, clara y terminante sobre esa supuesta contradicción (STC 58/2004, FFJJ 9 a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ha puesto de manifiesto que, en orden a enjuiciar desde la perspectiva del art 24. 1 CE, el carácter fundado de una resolución judicial que inaplica una norma legal vigente por su oposición al Derecho europeo, sin suscitar cuestión prejudicial, habrá que estar a lo establecido por la propia doctrina del Tribunal de Justicia de la Unión Europea acerca de los presupuestos para la formulación de la cuestión prejudicial, correspondiendo a los órganos judiciales apreciar la concurrencia de tales presupuestos (STC 78/2010, de 20 de octubre, FJ 2). En la misma línea el Tribunal Europeo de Derechos Humanos en su sentencia de fecha de 8 de abril de 2014, caso Dhabi contra Italia, también pone de manifiesto, en relación con el derecho al proceso debido reconocido en el art 6.1 del Convenio Europeo para la protección de los derechos humanos y de las libertades fundamentales, que los órganos judiciales nacionales deben justificar, de acuerdo con la doctrina del Tribunal de Justicia de la Unión Europea, los supuestos por los que deciden no plantear cuestión prejudicial y en los casos en que no se plantea la cuestión prejudicial y se inaplica directamente la norma legal nacional, se incide en la integridad del ordenamiento jurídico, al eludir también el control de la cuestión de inconstitucionalidad, sobre la base de la primacía del Derecho de la Unión. Así, en la STC 78/2010, el Tribunal Constitucional entró a enjuiciar, en el caso que examinaba, el carácter fundado de la resolución que había inaplicado la norma legal vigente, sin plantear cuestión prejudicial por estimar que ya existía una decisión prejudicial del Tribunal de Justicia de la Unión Europea sobre la cuestión objeto del proceso, y apreció que esta decisión del órgano judicial no estaba correctamente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Tras sintetizar la doctrina Cilfit sobre los supuestos de dispensa del planteamiento de la cuestión prejudicial, el ministerio fiscal compendia la argumentación judicial dada a favor de omitir la cuestión prejudicial. Sobre ese particular, pone de relieve que, en el fundamento jurídico 8 de las sentencias a las que se remite la recurrida, se afirma que, en la sentencia de 7 de febrero de 2012, el Tribunal Supremo resolvió que no era necesario plantear esa cuestión respecto de la correcta aplicación del art. 3.2 de la Directiva 2003/54/CE, sobre normas comunes para el mercado interior de la electricidad, puesto que ya existía una decisión prejudicial al respecto, concretamente la sentencia del Tribunal de Justicia de la Unión Europea de 20 de abril 2010 recaída en el asunto Federutility, que la referida resolución consideró como “acto aclarado”. En relación con el presente supuesto, el órgano judicial también considera que existen decisiones prejudiciales del Tribunal de Justicia de la Unión Europea en casos análogos; en concreto, la ya citada sentencia del Tribunal de Justicia de 20 de abril de 2010, dictada en al asunto Federutility, y la de 7 de septiembre de 2016, recaída en el asunto Anode. En relación con esta última sentencia, señala que el órgano judicial apreció que las consideraciones que en dicha resolución se formulan respecto de la normativa francesa sobre precios regulados en el suministro del gas, en relación con los requisitos que establece la Directiva 2009/73/CE para las obligaciones de servicio público impuestas a las empresas de gas natural, son trasladables a la regulación de la financiación del bono social que establece el art. 45.4 LSE; y, en base a ello, consideró que dicho precepto es contrario a lo dispuesto en el art. 3.2 de la Directiva 2009/72/CE, pues no cumple las condiciones de transparencia, no discriminación, control y proporcionalidad exigidas por esa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ministerio fiscal comparte el criterio de la administración recurrente acerca de que el Tribunal Supremo no ha justificado realmente que concurra un supuesto de “acto aclarado”, pues se ha limitado a expresar una declaración de voluntad, que es la de estimar que la decisiones del Tribunal de Justicia de la Unión Europea en esas sentencias son plenamente trasladables a la cuestión controvertida sobre la nueva regulación del régimen de financiación del bono social, pero no ofrece ninguna explicación sobre cuáles son los criterios que le permiten considerar que pueden ser aplicables, para resolver la cuestión controvertida, unas decisiones prejudiciales del Tribunal de Justicia de la Unión Europea que se pronuncian sobre la interpretación de las Directivas relativas al mercado del gas —y no sobre las del mercado de la electricidad— y además se refieren a otro tipo de obligaciones de servicio público distintas del bono social. La sentencia del caso Anode versa sobre un supuesto en el que la norma legal controvertida impone a determinadas empresas suministradoras de gas un precio regulado a clientes finales, a fin de garantizar el suministro y la cohesión territorial y por el contrario, en el caso que aquí nos ocupa el supuesto versa sobre una norma que regula el régimen de financiación por parte del sector eléctrico, de una medida destinada a favorecer al consumidor vulnerable.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entiende que no se ha apreciado correctamente la doctrina del “acto aclarado”, pues el objeto de la decisión prejudicial que fue resuelta por el Tribunal de Justicia de la Unión Europea (caso Anode) no puede ser considerado idéntico o análogo al actual; se trata de Directivas distintas, cuya aplicación se proyecta sobre los mercados interiores de dos productos energéticos diferentes (gas y energía); y la norma legal controvertida impone un precio regulado a determinadas suministradoras de gas, a fin de garantizar el suministro y la cohesión social (asunto Anode), mientras que en el proceso de origen del presente recurso de amparo, la cuestión discutida se refiere al régimen de financiación del bono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reitera que el tribunal a quo no ha apreciado correctamente la doctrina del “acto aclarado”, ya que la sentencia en que se basa el tribunal para considerar que puede abstenerse de plantear cuestión prejudicial no puede catalogarse como materialmente idéntica, ni que haya recaído en un asunto análogo, que permita conocer “de manera evidente y sin ninguna duda objetiva razonable cuál es la correcta aplicación de la norma europea en el caso controvertido”. Por tanto, la existencia de dudas razonables sobre la interpretación de la norma comunitaria, en relación con la regulación legal discutida, determina que no proceda considerar que concurra un supuesto de “acto aclarado”. A lo que cabe añadir que los supuestos de dispensa del planteamiento de la cuestión prejudicial deben ser objeto de interpretación estricta, tal y como pone de relieve la sentencia. También incide a favor de esas dudas la existencia de un voto particular en las sentencias dictadas por la Sección Tercera de la Sala de lo Contencioso del Tribunal Supremo en las que se basa la sentencia impugnada en esta sede y el dictamen del Consejo de Estado relativo al proyecto de orden por el que se desarrolla la metodología para la fijación de los porcentajes de reparto de las cantidades a financiar respecto del bono social, que satisface los requisitos impuestos por la normativa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estima que se han vulnerado los derechos fundamentales a la tutela judicial efectiva sin indefensión y al proceso debido (arts. 24. 1 y 2 CE), pues se ha incurrido en un exceso de jurisdicción al pronunciarse la Sala Tercera del Tribunal Supremo sobre la incompatibilidad de la norma legal con el Derecho europeo al margen del proceso debido, vulnerando el sistema de fuentes, al inaplicar directamente la norma legal vigente y eludir indebidamente el mecanismo de control, interesando una sentencia estimatoria del amparo solicitado, que anule las resoluciones impugnadas, con retroacción de actuaciones, al objeto de que por la Sala Tercera del Tribunal Supremo se dicte nueva resolución que sea respetuosa con los derechos fundamentales infringidos.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procuradora de los tribunales doña Cecilia Díaz-Caneja Rodríguez, en nombre y representación de ASEME, presentó sus alegaciones ante este Tribunal el 25 de octubre de 2018, interesando la inadmisión y, subsidiariamente,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delimitar el objeto del recurso y expresar su posición respecto del mismo, alega, en primer lugar, que procede su inadmisión por insuficiente justificación de la especial trascendencia constitucional, requisito indispensable para la admisión de acuerdo con el art. 50 LOTC. A su juicio, la demanda se limita a reiterar la supuesta existencia de la lesión de derechos fundamentales aducida, lo que resulta insuficiente según reiterada doctrina del Tribunal, citando al efecto las SSTC 128/2014, de 21 de julio, y 77/2015, de 27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esta parte codemandada que procede la inadmisión del recurso de amparo porque el mismo carece de especial trascendencia constitucional. A su juicio resulta improcedente justificar la especial trascendencia constitucional en la supuesta inexistencia de doctrina consolidada al respecto de los supuestos de exoneración en el planteamiento de cuestiones prejudiciales ante el Tribunal de Justicia de la Unión Europea, ya que este Tribunal se ha pronunciado en numerosas ocasiones sobre esta cuestión, refiriéndose a las SSTC 78/2010, de 20 de octubre; 145/2012, de 2 de julio, y 232/2015, de 5 de noviembre. Finalmente, dentro de este mismo apartado, admitiendo el carácter indeterminado del contenido de la expresión “especial trascendencia constitucional”, argumenta que no concurre ninguno de los supuestos contemplados en la STC 155/2009, de 25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y último lugar, aduce que procede la inadmisión o, subsidiariamente, la desestimación del recurso por inexistencia de las vulneraciones de los derechos fundamentales denunciadas. A su juicio, la sentencia impugnada no incurre en falta de motivación en lo que respecta a la posibilidad de inaplicar la normativa interna sin necesidad de plantear cuestión prejudicial, señalando que la simple discrepancia entre las partes no es justificación suficiente para apreciar la falta de motivación de la sentencia. Tampoco se ha producido vulneración del derecho a la tutela judicial efectiva sin indefensión y al proceso con todas las garantías (apartados 1 y 2 del art. 24 CE), alegando al respecto el precedente de inadmisión del recurso de amparo interpuesto por la Administración General del Estado contra la sentencia del Tribunal Supremo de 7 de febrero de 2012 (recurso contencioso-administrativo núm. 419-2010), sobre un supuesto de hecho que califica de “prácticamente idéntico”. Se refiere después a la doctrina del “acto aclarado” y la innecesaridad de plantear cuestión prejudicial ante el Tribunal de Justicia de la Unión Europea por existir dos sentencias de dicho Tribunal en supuestos materialmente idénticos al resuelto por el Tribunal Supremo y argumenta que las sentencias de contraste del Tribunal de Justicia, sobre la base de las cuales el Tribunal Supremo acuerda inaplicar una ley nacional por contravenir una Directiva europea, fueron dictadas en supuestos sustancialmente idénticos al enjuiciado por el Tribunal Supremo. La vulneración pretendida por el abogado del Estado no es tal desde el momento en que el Tribunal Supremo otorgó plazo a las partes en sede del recurso contencioso-administrativo núm. 960-2014 para que manifestasen lo pertinente al respecto de la sentencia del Tribunal de Justicia de la Unión Europea de fecha 7 de septiembre de 2016 (asunto C-121/15), caso Anode. Finalmente, expone detalladamente la metodología empleada para la financiación del bono social y defiende la identidad material de la misma y la que dio lugar al conflicto resuelto mediante la sentencia del Tribunal de Justicia de 7 de septiembre de 2016 en torno a la posibilidad de imponer obligaciones de servicio público y la protección de los colectivos vulnerables.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26 de octubre de 2018 tuvieron entrada en este Tribunal las alegaciones de Iberdrola, S.A. En primer lugar explica el contexto y los antecedentes relevantes de la controversia judicial, en particular la Directiva 2009/72/CE y las normas nacionales que regulan el bono social. Resume, después, el contenido de la sentencia impugnada y los motivos de amparo expuestos por la administración. Posteriormente, trae a colación la doctrina del Tribunal Constitucional según la cual no cabe cuestionar, con base en el art. 24.1 CE, la decisión del tribunal ordinario de no plantear la cuestión prejudicial, siempre que esa decisión sea el fruto de una exégesis racional de la legalidad ordinaria. No obstante, reconoce que existen dos matizaciones a esa doctrina, como así se señala en la STC 232/2015: cuando el tribunal nacional toma una decisión contraria a la doctrina ya establecida por la Unión Europea, lo que no concurre en el caso que nos ocupa; y en aquellos supuestos en que “dejar de aplicar una ley interna, sin plantear cuestión de inconstitucionalidad, por entender un órgano jurisdiccional que esa ley es contraria al derecho de la Unión Europea, sin plantear tampoco cuestión prejudicial ante el Tribunal de Justicia de la Unión Europea, es contrario al derecho a un proceso con todas las garantías (art. 24.2 CE) si existe una ‘duda objetiva, clara y terminante’ sobre esa supuesta contradicción (STC 58/2004, FFJJ 9 a 14)”. No obstante, tras invocar las SSTC 212/2014, de 18 de diciembre; y 99/2015, de 25 de mayo, afirma que, desde la perspectiva del mencionado art. 24.2 CE, es suficiente con que, al órgano judicial, no se le planteen dudas sobre el alcance del Derecho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la codemandada lleva a cabo una exposición sobre la argumentación dada en la STC 58/2004 acerca del alcance y finalidad de la cuestión prejudicial ante el Tribunal de Justicia de la Unión Europea que, según afirma, no consiste en aclarar la aplicación al caso concreto del Derecho de la Unión Europea, sino en concretar cuál es su interpretación y alcance, para, seguidamente, afirmar que el recurso de amparo ha perdido su objeto. Tal aserto trae causa de la entrada en vigor del Real Decreto-ley 7/2016, de 23 de diciembre, que regula el mecanismo de financiación del coste del bono social y otras medidas de protección al consumidor vulnerable de energía eléctrica, norma esta que fue promulgada tras el dictado de la sentencia recurrida en amparo. Según sostiene, en la exposición de motivos de la mencionada norma se contemplan los principios que deben regir la financiación del bono social, con el mismo alcance que se fija en la sentencia dictada por el Tribunal Supremo; y ello porque la selección de las empresas comercializadoras de energía eléctrica para costear el bono social constituye una medida basada en razones objetivas, transparentes y no discriminatorias, que no quiebran el principio de proporcionalidad conforme a la doctrina establecida en esa Sentencia. Siendo así, en el presente recurso no se plantea ningún debate sustantivo sobre lo dicho por el Tribunal Supremo acerca de cuál deba ser la interpretación y aplicación del derecho de la Unión, ni sobre lo que podría haber dicho de forma distinta el Tribunal de Justicia de la Unión Europea, de haberse planteado la cuestión prejudicial. De ahí que la actual controversia sea puramente formal y en cierto sentido bizantina, pues pretende que el Tribunal Supremo plantee una cuestión prejudicial para resolver una cuestión de fondo que ya no es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afirma que el recurso de amparo carece de especial trascendencia constitucional, pues la que expresamente aduce la administración recurrente no es tal. Señala que no corresponde al Tribunal Constitucional clarificar cuáles son los supuestos que han de concurrir para aplicar la doctrina del “acto claro” o del “acto aclarado”, ya que esa cuestión se anuda a la interpretación del art. 267 TFUE y de la jurisprudencia dictada en su desarrollo por el Tribunal de Justicia de la Unión Europea. Por otro lado, aunque sí corresponde al Tribunal Constitucional analizar, desde la perspectiva del art. 24 CE, la interpretación que el tribunal ordinario haga del art. 267 Tratado de funcionamiento de la Unión Europea, pone de relieve que, sobre ese aspecto, la doctrina constitucional es inequívoca y pétrea, como ha quedado expuesto. Asimismo, recuerda que, en un caso que considera idéntico, concretamente el resuelto por la STS de fecha 7 de febrero de 2012, que declaró inaplicable el sistema de financiación del bono social regulado en el Real Decreto-ley 6/2009, el Tribunal Constitucional acordó la inadmisión de la demanda de amparo interpuesta por la Abogacía del Estado, mediante providencia de 26 de septiembre de 2012, al apreciar la manifiesta inexistencia de violación de un derecho fundamental tutelable. Añade que, pese a los esfuerzos de la administración demandante por poner de relieve las diferencias entre el modelo de financiación seguido por el Real Decreto-ley 6/2009 (el coste se distribuía entre una lista de entidades cerrada e inamovible) y el establecido por el art. 45.4 LSE (sistema no definitivo ni nominal, sino contingente), lo cierto es que las diferencias que refiere la demandante no son tales, por lo que procede adoptar la misma decisión que la acordada en la providencia indicada. Además, añade que la administración carece de legitimación para recurrir, pues aunque el recurso de amparo también se encuadra formalmente en el artículo 24.2 CE, lo que realmente se invoca es un déficit de motivación que debe encontrar encaje en el artículo 24.1 CE. Y esa dimensión del derecho a la tutela judicial efectiva sin indefensión no protege a las personas jurídico-públicas cuando, como acontece en el presente, la administración actúa en el ejercicio de sus potestades jurídico-públicas.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niega que las resoluciones impugnadas hayan vulnerado el art. 24 CE. Tras detallar exhaustivamente los diferentes argumentos que ofrece la sentencia para desmontar las razones contenidas en la exposición de motivos del Real Decreto-ley 9/2013 acerca del sistema de financiación del bono social, así como las que ofrece para justificar el no planteamiento de la cuestión prejudicial ante el Tribunal de Justicia de la Unión Europea, de todo ello colige: i) que en el presente supuesto no existe una duda objetiva, clara y terminante sobre la contradicción entre el Derecho de la Unión y el Derecho Nacional, pues así lo expresa el Tribunal Supremo en su razonamiento y ii) que la decisión adoptada por ese órgano judicial es fruto de una exégesis racional de la legalidad ordinaria y no resulta ser, por tanto, manifiestamente arbitraria o injustificada. Y ello porque la referida resolución explica de manera detallada los hechos del caso y los principios y la normativa aplicable; expone la doctrina del Tribunal de Justicia de la Unión Europea que considera de aplicación en relación con los límites impuestos a las obligaciones de servicio público (asuntos Federutility y Anode) y constata que esa doctrina coincide con la interpretación del art. 3 de la Directiva 2009/72/CE, por lo que concluye con la afirmación de que el Tribunal Supremo decidió no plantear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apoyo de la decisión adoptada por el Tribunal Supremo, considera que, entre la obligación de financiar el déficit de tarifa y financiar el bono social, existen sustanciales diferencias, principalmente porque esta última es una obligación de servicio público. También refiere que, datos tales como la formulación de un voto particular proclive al planteamiento de la cuestión prejudicial, que el dictamen en Consejo de Estado no opusiera reparos a la compatibilidad del sistema de financiación del bono social con el Derecho de la Unión o que se excluyera la imposición de costas porque la controversia suscita suficientes dudas de Derecho para considerar improcedente la condena en costas, no engendran una “duda razonable” que determine la necesidad de plantear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abril de 2019, se señaló para deliberación y votación de la presente sentencia el día 6 de mayo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presente recurso de amparo tiene por objeto la sentencia dictada por la Sección Tercera de la Sala de lo Contencioso-administrativo del Tribunal Supremo el día 7 de diciembre de 2017 en el recurso de casación núm. 122-2016, así como el auto de 29 de enero de 2018, de la misma Sala y Sección, que desestimó el incidente de nulidad de actuaciones promovido por la recurrente frente a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procesales y sustantivos introducidos por las partes en el debate de este recurso son sustancialmente coincidentes con los que ya han sido abordados por el Pleno del Tribunal Constitucional en nuestra reciente STC 37/2019, de 26 de marzo (recurso de amparo núm. 593-2017), a cuyos fundamentos debemos remitirnos. En consecuencia, procede desestimar la alegación de que la parte demandante (Administración General del Estado) no ha justificado la especial transcendencia constitucional del recurso [STC 37/2019, FJ 3 b)], de que carece de especial transcendencia constitucional [STC 37/2019, FJ 3, b)], así como la de que se ha producido la pérdida sobrevenida de objeto (STC 37/2019, FJ 2) y de falta de legitimación de la administración demandante [STC 37/2019, FJ 3 a)], y debemos dar por reproducidos los FFJJ 4 a 6. En ellos, tras exponer la doctrina constitucional sobre el planteamiento de la cuestión prejudicial y examinar el pronunciamiento de la Sala Tercera del Tribunal Supremo en el caso enjuiciado, consideramos vulnerado el derecho a un proceso con todas las garantías (art. 24.2 CE), debido a la ausencia de los presupuestos necesarios para apreciar que concurriera “acto aclarado” que exima de la obligación de plantear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procede estimar el recurso de amparo por vulneración del derecho a un proceso con todas las garantías (art. 24.2 CE) y declarar la nulidad de la sentencia y del auto objeto de impugnación, con retroacción de actuaciones al momento anterior al de dictarse la primera de las resoluciones citadas, a fin de que la Sala de lo Contencioso-Administrativo del Tribunal Supremo dicte otra resolución respetuosa con el derecho fundamental conculcado.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solicitado por la Administración General del Estado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un proceso público con todas las garantías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la integridad de su derecho y, a tal fin, anular la sentencia de la Sección Tercera de la Sala de lo Contencioso-Administrativo del Tribunal Supremo de 7 de diciembre de 2017, recaída en el recurso de casación núm. 122-2016, y el auto de 29 de enero de 2018, de la misma Sala y Sección, por el que se desestimó el incidente de nulidad de actuaciones promovido frente a la referida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de la sentencia, para que el indicado órgano judicial dicte nueva resolución que sea respetuosa con el derecho fundamental vulnerado, en los términos expresados en el fundamento jurídico quinto de esta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