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1541-2018, promovido por el abogado del Estado, en representación de la Administración General del Estado, contra la sentencia de la Sección Tercera de la Sala de lo Contencioso-Administrativo del Tribunal Supremo de 12 de diciembre de 2017, recaída en el recurso de casación núm. 3864-2015, y el auto de 2 de febrero de 2018, que desestimó el incidente de nulidad de actuaciones promovido frente a la anterior. Han intervenido la entidad Cooperativa Eléctrica Benéfica San Francisco de Asís, cooperativa valenciana, representada por la procuradora de los tribunales doña Cecilia Díaz-Caneja Rodríguez y defendida por la letrada doña Irene Bartol Mir, y el ministerio fiscal. Ha sido ponente el magistrado don Juan José González Rivas, presidente.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marzo de 2018, el abogado del Estado, en representación de la Administración General del Estado,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Cooperativa Eléctrica Benéfica San Francisco de Asís, cooperativa valenciana, interpuso recurso contencioso-administrativo contra la Orden IET/350/2014, de 7 marzo, por la que se fijan los porcentajes de reparto de las cantidades a financiar relativas al bono social correspondientes a 2014, la cual tiene como base normativa el art 45.4 de la Ley 24/2013, de 29 diciembre, del sector eléctrico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del recurso contencioso-administrativo se solicitó: (i) que se declarase la ilegalidad y consiguiente inaplicación de la Orden IET/350/2014, de 7 marzo y del art 45.4 LSE 24/2013, por vulneración de lo dispuesto en el art 3 de la Directiva 2009/72 del Parlamento Europeo y del Consejo, de 13 de julio de 2009, sobre normas comunes para el mercado interior de la electricidad, por considerar que el mecanismo de financiación del bono social que se establece por las normas cuya inaplicabilidad se solicita es discriminatorio y no garantiza a las empresas eléctricas de la Unión Europea el acceso en igualdad de condiciones a los consumidores nacionales; ii) se declarase la ilegalidad y consiguiente anulación de la Orden IET/350/2014, de 7 marzo y del art 45.4 LSE 24/2013, por vulneración de los dispuesto en el art 9.3 y 14 CE, en la medida que el mecanismo de financiación del bono social que establecen esas normas resulta discriminatorio y por ello arbitrario; (iii) se declarase la ilegalidad y consiguiente anulación de la Orden IET/350/2014, de 7 marzo y del art 45.4 LSE 24/2013, por vulneración de los arts. 39 y 41 CE, al no configurarse el bono social como un coste a cargo de los presupuestos generales, siendo un ayuda social que debe recaer en los poderes públicos y (iv) que se condenase a la Administración General del Estado a adoptar las medidas necesarias para el restablecimiento de la situación jurídica individualizada del recurrente vulnerada por la Orden IET/350/2014, de 7 marzo, restituyendo al mismo en lo indebidamente pagado a la Comisión Nacional de los Mercados y la Competencia, con los intereses legales correspondientes desde la fecha de su efectivo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citado recurso contencioso-administrativo, registrado con el núm. 184-2014, conoció la Sección Cuarta de la Sala de lo Contencioso-Administrativo de la Audiencia Nacional que, tras la tramitación del procedimiento, dictó sentencia el 21 de octubre 2015 desestimando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dictada por la Sala de lo Contencioso-Administrativo de la Audiencia Nacional, interpuso la entidad recurrente recurso de casación, del que, con el núm. 3864-2015, conoció la Sección Tercera de la Sala de lo Contencioso-Administrativo del Tribunal Supremo que dictó sentencia el 12 de diciembre de 2017, estimando el recurso de casación y anulando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la Sección Tercera de la Sala de lo Contencioso Administrativo del Tribunal Supremo estimó el recurso contencioso-administrativo interpuesto Cooperativa Eléctrica Benéfica San Francisco de Asís, cooperativa valenciana y declaró la nulidad de la Orden IET/350/2014, de 7 marzo, por la que se fijan los porcentajes de reparto de las cantidades a financiar relativas al bono social correspondientes a 2014. Estableció asimismo el derecho de la recurrente a ser indemnizada por las cantidades abonadas en concepto de bono social en aplicación de la citada Orden que fue dictada en desarrollo del art 45.4 LSE, debiendo serle reintegradas todas las cantidades abonadas en ese concepto y correspondientes a 2014, con los intereses legales desde la fecha del pago hasta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remite a las sentencias de la misma Sala de 24 de octubre de 2016 (recursos contencioso-administrativos núm. 960-2014 y 961-2014), 25 de octubre de 2016 (recurso núm. 16-2015) y 2 de noviembre de 2016 (recurso núm. 11-2015), en las que se declara inaplicable el régimen de financiación del bono social establecido en el artículo 45.4 de la Ley 24/2013, de 26 de diciembre, por resultar incompatible con la Directiva 2009/72/CE, del Parlamento Europeo y del Consejo, de 13 de julio de 2009, y se declara también inaplicables y nulos los artículos 2 y 3 del Real Decreto 968/2014, de 21 de noviembre, que desarrollan lo dispuesto en el citado artículo 45.4 de la Ley 24/2013,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como muestra las resoluciones recaídas en el recurso contencioso-administrativo núm. 961-2014 recuerda lo que señala el fundamento jurídico séptimo de la sentencia de 24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24/2013 no contiene una relación nominal de las empresas o grupos de empresas que deben asumir la financiación del bono social. Fue la Orden IET/350/2014, de 7 de marzo, por la que se fijan los porcentajes de reparto de las cantidades a financiar relativas al bono social correspondientes a 2014 —Orden dictada en aplicación de lo previsto en el artículo 45.4 de la Ley 24/2013 , pero antes de que se hubiese producido el desarrollo reglamentario de ésta mediante el Real Decreto 968/2014— la que vino a identificar a las entidades concernidas y a fijar los porcentajes de reparto de las cantidades a financiar relativas al bono social correspondiente 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también se refiere al auto de la Sala de lo Contencioso-Administrativo del Tribunal Supremo de 18 de septiembre de 2017 (recurso núm. 961-2014), que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señalado en la propia sentencia que la Orden IET/350/2014 fue dictada en aplicación de lo previsto en el artículo 45.4 de la Ley 24/2013, y como sabemos, en el apartado 2 de la parte dispositiva de la sentencia se acuerda ‘2. Declarar inaplicable el régimen de financiación del bono social establecido en el artículo 45.4 de la Ley 24/2013, de 26 de diciembre, por resultar incompatible con la Directiva 2009/72/CE...’. Por tanto, bien podría decirse que la Orden IET/350/2014 tiene el mismo vicio de origen que el Real Decreto 968/2014, de 21 de noviembre, por cuanto ambos traen causa de un precepto legal que ha sido declarado inaplicable por resultar incompatible con la norma comunitaria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la sentencia no declara la nulidad de la Orden IET/350/2014 —no era objeto de impugnación en el proceso ni se formulaba pretensión respecto de ella— y en los apartados 3 y 4 del fallo se declaran inaplicables y nulos los artículos 2 y 3 del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pronunciamientos trascritos la sentencia del Tribunal Supremo examinada extrae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“Vemos así que el vicio de origen que aqueja a la Orden IET/350/2014 aparece ya señalado de forma anticipada en los autos dictados en ejecución de las sentencias que declaran inaplicable el régimen de financiación del bono social establecido en el artículo 45.4 de la Ley 24/2013 e inaplicables y nulos los artículos 2 y 3 del Real Decreto 968/2014. Y si tales autos no declararon la nulidad de la Orden IET/350/2014 fue, sencillamente, porque la Orden no había sido objeto de impugnación en el proceso ni se había formulado pretensión respecto de ella. Además, en los propios autos quedaba señalado que no debíamos interferir entonces en lo que era objeto de otros litigios, pues la Orden IET/350/2014 había sido objeto de impugnación en diferentes recursos seguidos ante la Sala de lo Contencioso-Administrativo de la Audiencia Nacional y contra las sentencias recaídas en tales procesos se había interpuesto recursos de casación que se encontraban en aquel momento pendientes de resolución (recurso de casación 3127-2015, 3332-2015, 3374-2015, 3864-2015, 3875-2015, 3885-2015, 122-2016, 149-2016 y 714-2016)”.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interpuso la abogacía del Estado incidente de nulidad de actuaciones en el que se alegaba vulneración del derecho a la tutela judicial efectiva y al proceso con todas las garantías, en cuanto al no planteamiento de cuestión prejudicial ante el Tribunal de Justicia de la Unión Europea y por no haberse planteado cuestión de inconstitucionalidad, e incongruencia omisiva. La Sección Tercera de la Sala de lo Contencioso-Administrativo del Tribunal Supremo desestimó dicho incidente de nulidad por auto de fecha 2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el órgano judicial rechaza que se hayan producido las vulneraciones objeto de denuncia, toda vez que en las sentencias antes citadas de 24 de octubre de 2016 (dos sentencias con esa fecha dictadas en los recursos 960-2014 y 961-014), 25 de octubre de 2016 (recurso 16-2015) y 2 de noviembre de 2016 (recurso 11-2015), se explicitan las causas por las que no resulta precisa su formulación. En concreto, refiere que “no reiteraremos aquí las razones que dimos entonces, que la Abogacía del Estado conoce, sin duda, pues la Administración fue parte en todos aquellos procesos. Lo que interesa destacar ahora es que si el planteamiento de cuestión prejudicial ante el Tribunal de Justicia de la Unión Europea se consideró innecesario entonces, con mayor razón resultará innecesario el planteamiento de la cuestión prejudicial para declarar la nulidad de una Orden que fue dictada en desarrollo del precepto legal que entonces se declaró inaplicable por ser contrario al ordenamiento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análogas a las señaladas también se descarta la queja por no haberse planteado cuestión de inconstitucionalidad: “Una vez que por sentencia firme había sido declarado inaplicable el artículo 45.4 de la Ley 24/2013, por contravenir el Derecho de la Unión Europea, la constatación de que la Orden IET/350/2014 había sido dictada precisamente en desarrollo de aquel precepto legal llevaba directamente a la conclusión de que dicha orden debía ser declarada nula, sin que para hacer tal pronunciamiento resultase necesario el previo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desecha la queja de haber incurrido en incongruencia omisiva, pues “si el motivo de nulidad se ciñe a la falta de examen en la sentencia de los argumentos esgrimidos por la abogacía del Estado en su escrito de oposición del recurso de casación, lo cierto es que la razón dada en la sentencia para declarar nula la Orden IET/350/2014 —esto es, la existencia de pronunciamientos judiciales firmes que declaran inaplicable el precepto legal a que dicha orden sirve de desarrollo— hacía innecesario el examen de aquellos argumentos de oposición, como innecesario se consideró también el examen de los motivos de casación formulados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General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aspectos más relevantes del procedimiento judicial, la parte recurrente justifica la especial trascendencia constitucional del recurso por considerar que 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Esa temática ostenta una clara relevancia pues, conforme a la STC 232/2015, dejar de aplicar una ley interna sin previamente plantear cuestión prejudicial ante el Tribunal de Justicia,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aduce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esta perspectiva lo verdaderamente primordial consiste en delimitar cuál es el alcance de las facultades que esos órganos ostentan y la amplitud del margen de interpretación del que disponen para inaplicar directamente una norma interna con rango de ley, por considerarla contraria al Derecho europeo, sin plantear previamente cuestión prejudicial ante el Tribunal de Justicia de la Unión Europea. Según el demandante, lo novedoso del caso reside en que, por considerar aplicable al presente supuesto la doctrina del “acto aclarado”, la decisión del órgano judicial ha supuesto el apartamiento de una norma con rango de ley de aplicación al caso, de manera que el citado órgano se ha convertido en un “legislador negativo”, cuyas facultades de valoración resultan sumamente trascendentes desde la perspectiva del derecho garantizado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demanda se refiere exclusivamente a las sentencias del Tribunal Supremo a las que se remite la impugnada. En primer lugar, sintetiza las razones dadas por el órgano judicial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La demanda sostiene que la argumentación que ofrece la sentencia impugnada para considerar innecesario el planteamiento de la referida cuestión prejudicial es meramente apodíctica y, por tanto, incurre en manifiesta falta de motivación que lesiona el derecho a la tutela judicial efectiva; y ello, porque el órgano judicial considera que el contenido de la sentencia del Tribunal de Justicia de la Unión Europea de 7 de septiembre de 2016 (asunto Anode), reproducido literalmente en alguno de sus párrafos, es trasladable al caso ahora examinado, pero no dice por qué razón lo es ni expone cuáles son esos criterios que resultan aplicables al presente caso, por lo que no se acierta a ver cuál es la semejanza con los considerandos de la sentencia del Tribunal de Justicia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la sentencia recurrida en esta sede aplica la doctrina del “acto aclarado” para justificar la falta de planteamiento de la cuestión prejudicial, pero estima que el criterio seguido es erróneo, pues no concurren las características o circunstancias que, conforme a la jurisprudencia consolidada del Tribunal de Justicia de la Unión Europea, determinan que resulte innecesaria la formulación de la cuestión prejudicial, pues ni puede imponerse con tal evidencia la similitud entre asuntos, de manera que no quepa albergar duda razonable sobre la solución de la cuestión, ni tampoco la cuestión suscitada es materialmente idéntica a otra anterior que hubiera sido objeto de una decisión prejudicial. Para la parte recurrente el Tribunal Supremo sustenta la aplicación al caso de la doctrina del “acto aclarado” en las sentencias recaídas en los asuntos Federutility y Anode que constituyen supuestos análogos que, conforme a la “doctrina Cilfit”, justifican la inaplicación del art. 45.4 de la LSE. Sin embargo, respecto de la sentencia del Tribunal de Justicia de la Unión Europea de 20 de abril de 2010 –asunto Federutility−, indica que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administración esta cuestión no puede considerarse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respecto a la segunda de las sentencias traídas a colación por el Tribunal Supremo, esto es, la sentencia del Tribunal de Justicia de la Unión Europea de 7 de septiembre de 2016 (asunto Anode) su doctrina no la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éstos se refieren a la protección de los consumidores vulnerables, aspecto este que es completamente ajeno a la determinación de los componentes del precio del gas en aquel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para la demandante tampoco cabe entender que las consideraciones que se formulan en el parágrafo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demanda invoca algunos de los argumentos que figuran en el voto particular formulado por el magistrado disidente a la sentencia de 14 de octubre de 2016, consistentes, en síntesis, en que concurren diferencias sustanciales entre el caso resuelto por el Tribunal de Justicia de la Unión Europea y los presupuestos fácticos y jurídicos examinados en el recurso contencioso-administrativo tramitado por el Tribunal Supremo, por lo que no resulta aplicable la doctrina del “acto aclarado” a fin de eludir el planteamiento de la cuestión prejudicial en el presente caso y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de la Unión Europea; y iii) el juez nacional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27 de marzo 2018 del secretario de justicia de la Sección Primera de este Tribunal se acordó conceder a la parte recurrente un plazo de diez días para que presentara copia de la sentencia de 21 de octubre de 2015 de la Audiencia Nacional, lo que se llevó a cabo mediante escrito que se registró el 5 de abril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octubre de 2018, la Sección Primera de este Tribunal acordó la admisión a trámite de la demanda de amparo presentada, “apreciando que concurre en el mismo una especial trascendencia constitucional (art. 50.1 LOTC) porque el recurso plantea un problema o afecta a una faceta de un derecho fundamental sobre el que no hay doctrina de este Tribunal [STC 155/2009, FJ 2, a)]”. En aplicación de lo dispuesto en el art. 51 de la Ley Orgánica del Tribunal Constitucional (LOTC), se acordó dirigir atenta comunicación a la Sección Tercera de la Sala de lo Contencioso-Administrativo del Tribunal Supremo a fin de que, en plazo que no excediera de diez días, remitiera certificación o fotocopia adverada de las actuaciones correspondientes al recurso de casación núm. 3864-2015. Asimismo se acordó dirigir atenta comunicación a la Sección Cuarta de la Sala de lo Contencioso-Administrativo de la Audiencia Nacional, para que en el mismo plazo remitiese certificación o fotocopia adverada de las actuaciones correspondientes al recurso contencioso-administrativo núm. 184-2014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requeridas de los órganos judiciales, por diligencia de ordenación del secretario de justicia de la Sección Primera de este Tribunal de fecha 13 de noviembre de 2018, se acordó tener por personada y parte en el procedimiento a la procuradora doña Cecilia Díaz-Caneja Rodríguez, en nombre y representación de Cooperativa Eléctrica Benéfica San Francisco de Asís, cooperativa valenciana, ordenándose entender con ella las sucesivas diligencias,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Cecilia Díaz-Caneja Rodríguez, en nombre y representación de Cooperativa Eléctrica Benéfica San Francisco de Asís, cooperativa valenciana, presentó sus alegaciones ante este Tribunal el 13 de diciembre de 2018, interesando la inadmisión y,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delimitar el objeto del recurso y expresar su posición respecto del mismo, alega, en primer lugar, que procede su inadmisión por insuficiente justificación de la especial trascendencia constitucional, requisito indispensable para la admisión de acuerdo con el art. 50 LOTC. A su juicio, la demanda se limita a reiterar la supuesta existencia de la lesión de derechos fundamentales aducida, lo que resulta insuficiente según reiterada doctrina del Tribunal, citando al efecto las SSTC 128/2014, de 21 de julio, y 77/2015,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esta parte codemandada que procede la inadmisión del recurso de amparo porque el mismo carece de especial trascendencia constitucional. A su juicio resulta improcedente justificar la especial trascendencia constitucional en la supuesta inexistencia de doctrina consolidada al respecto de los supuestos de exoneración en el planteamiento de cuestiones prejudiciales ante el Tribunal de Justicia de la Unión Europea, ya que este Tribunal se ha pronunciado en numerosas ocasiones sobre esta cuestión, refiriéndose a las SSTC 78/2010, de 20 de octubre; 145/2012, de 2 de julio, y 232/2015, de 5 de noviembre. Finalmente, dentro de este mismo apartado, admitiendo el carácter indeterminado del contenido de la expresión “especial trascendencia constitucional”, argumenta que no concurre ninguno de los supuestos contemplados en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aduce que procede la inadmisión o, subsidiariamente, la desestimación del recurso por inexistencia de las vulneraciones de los derechos fundamentales denunciadas. A su juicio, la sentencia impugnada no incurre en falta de motivación en lo que respecta a la posibilidad de inaplicar la normativa interna sin necesidad de plantear cuestión prejudicial, señalando que la simple discrepancia entre las partes no es justificación suficiente para apreciar la falta de motivación de la sentencia. Tampoco se ha producido vulneración del derecho a la tutela judicial efectiva sin indefensión y al proceso con todas las garantías (apartados 1 y 2 del art. 24 CE), alegando al respecto el precedente de inadmisión del recurso de amparo interpuesto por la Administración General del Estado contra la sentencia del Tribunal Supremo de 7 de febrero de 2012 (recurso contencioso-administrativo núm. 419-2010), sobre un supuesto de hecho que califica de “prácticamente idéntico”. Se refiere después a la doctrina del “acto aclarado” y la innecesaridad de plantear cuestión prejudicial ante el Tribunal de Justicia de la Unión Europea por existir dos sentencias de dicho Tribunal en supuestos materialmente idénticos al resuelto por el Tribunal Supremo y argumenta que las sentencias de contraste del Tribunal de Justicia de la Unión Europea, sobre la base de las cuales el Tribunal Supremo acuerda inaplicar una ley nacional por contravenir una Directiva europea, fueron dictadas en supuestos sustancialmente idénticos al enjuiciado por el Tribunal Supremo. La vulneración pretendida por el abogado del Estado no es tal desde el momento en que el Tribunal Supremo otorgó plazo a las partes en sede del recurso contencioso-administrativo núm. 960-2014 para que manifestasen lo pertinente al respecto de la sentencia del Tribunal de Justicia de la Unión Europea de fecha 7 de septiembre de 2016 (asunto C-121/15), caso Anode. Finalmente, expone detalladamente la metodología empleada para la financiación del bono social y defiende la identidad material de la misma y la que dio lugar al el conflicto resuelto mediante la sentencia del Tribunal de Justicia de 7 de septiembre de 2016 en torno a la posibilidad de imponer obligaciones de servicio público y la protección de los colectivos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19 de diciembre de 2018 el ministerio fiscal presentó su escrito de alegaciones en el que termina solicitando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argumenta el fiscal ante el Tribunal Constitucional lo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Administración General del Estado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explica el mecanismo del bono social que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Decreto-ley 6/2009, de 30 de abril, por el que se adoptaron determinadas medidas en el sector energético y se aprobó el bono social, que, en su preámbulo reflejaba el objeto al que respondía esa medida, y que en el art. 2.5 y la disposición transitoria segunda establecían el régimen de financiación del bono social. Esas disposiciones, recuerda el ministerio público, fueron enjuiciadas en la sentencia de la Sala Tercera del Tribunal Supremo de 7 de febrero de 2012, que consideró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los de la Orden ITC 1723/2009, de desarrollo de aquel, sin plantear cuestión prejudicial ante el Tribunal de Justicia de la Unión Europea, por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posterior del bono social se prevé en el artículo 45.4 de la Ley 24/2013, de 26 de diciembre, del sector eléctrico, más tarde modificada por el Real Decreto-ley 7/2016. Afirma el ministerio fiscal que esta disposición se corresponde con las previsiones del Real Decreto-ley 6/2009, pues establece que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advierte de que la sentencia del Tribunal Supremo considera que los criterios reflejados en la exposición de motivos del Real Decreto-ley 9/2013 no justifican debidamente el sistema de financiación del bono social que, en síntesis, corre a cargo de las sociedades que realizan simultáneamente las actividades de generación, distribución y comercialización en el sector eléctrico. Tampoco, según la referida sentencia, aparece debidamente justificado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del Tratado de funcionamiento de la Unión Europea.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de lo expuesto trae a colación la STC 232/2015, de 5 de noviembre,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caso Dhabi contra Italia, también pone de manifiesto, en relación con el derecho al proceso debido reconocido en el art 6.1 del Convenio Europeo de Derechos Humanos, que los órganos judiciales nacionales deben justificar, de acuerdo con la doctrina del Tribunal de Justicia de la Unión Europea, los supuestos por los que deciden no plantear cuestión prejudicial y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sintetizar la doctrina Cilfit sobre los supuestos de dispensa del planteamiento de la cuestión prejudicial, el ministerio fiscal compendia la argumentación judicial dada a favor de omitir la cuestión prejudicial. Sobre ese particular, pone de relieve que, en el fundamento jurídico 8 de las sentencias a las que se remite la recurrida, se afirma que, en la sentencia de 7 de febrero de 2012, el Tribunal Supremo resolvió que no era necesario plantear esa cuestión respecto de la correcta aplicación del art. 3.2 de la Directiva 2003/54/CE, sobre normas comunes para el mercado interior de la electricidad, puesto que ya existía una decisión prejudicial al respecto, concretamente la sentencia del Tribunal de Justicia de la Unión Europea de 20 de abril 2010 recaída en el asunto Federutility, que la referida resolución consideró como “acto aclarado”. En relación con el presente supuesto, el órgano judicial también considera que existen decisiones prejudiciales del Tribunal de Justicia de la Unión Europea en casos análogos; en concreto, la ya citada sentencia del Tribunal de Justicia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pues se ha limitado a expresar una declaración de voluntad, que es la de estimar que la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considerar que pueden ser aplicables, para resolver la cuestión controvertida, unas decisiones prejudiciales del Tribunal de Justicia de la Unión Europea que se pronuncian sobre la interpretación de las directivas relativas al mercado del gas —y no sobre las del mercado de la electricidad— y además se refieren a otro tipo de obligaciones de servicio público distintas del bono social. La sentencia del caso Anode versa sobre un supuesto en el que la norma legal controvertida impone a determinadas empresas suministradoras de gas un precio regulado a clientes finales, a fin de garantizar el suministro y la cohesión territorial y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no se ha apreciado correctamente la doctrina del “acto aclarado”, pues el objeto de la decisión prejudicial que fue resuelta por el Tribunal de Justicia de la Unión Europea (caso Anode) no puede ser considerado idéntico o análogo al actual; se trata de Directivas distintas, cuya aplicación se proyecta sobre los mercados interiores de dos productos energéticos diferentes (gas y energía); y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reitera que el tribunal a quo no ha apreciado correctamente la doctrina del “acto aclarado”, ya que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tal y como pone de relieve la sentencia. También incide a favor de esas dudas la existencia de un voto particular en las sentencias dictadas por la Sección Tercera de la Sala de lo Contencioso-Administrativo del Tribunal Supremo en las que se basa la sentencia impugnada en esta sede y el dictamen del Consejo de Estado relativo al proyecto de orden por el que se desarrolla la metodología para la fijación de los porcentajes de reparto de las cantidades a financiar respecto del bono social, que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y eludir indebidamente el mecanismo de control, interesando una sentencia estimatoria del amparo solicitado, que anule las resoluciones impugnadas, con retroacción de actuaciones, al objeto de que por la Sala Tercera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2019, se señaló para deliberación y votación de la presente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dictada el día 12 de diciembre de 2017 por la Sección Tercera de la Sala de lo Contencioso-Administrativo del Tribunal Supremo en el recurso de casación núm. 3864-2015, así como el auto de 2 de febrero de 2018, del mismo órgano judicial, por el que se desestima el incidente de nulidad de actuaciones promovido frente a aquella. Para la administración demandante, que actúa representada por el abogado del Estado, se han vulnerado los apartados 1 y 2 del artículo 24 CE; es decir, el derecho a la tutela judicial efectiva sin indefensión y el derecho a un proceso con todas las garantías, pues el órgano judicial ha inaplicado el artículo 45.4 LSE entonces en vigor, que establece el régimen de financiación del bono social eléctrico, al considerar que es incompatible con el artículo 3.2 de la Directiva 2009/72/CE; y ha adoptado esa decisión sin previamente plantear cuestión prejudicial ante el Tribunal de Justicia de la Unión Europea, ofreciendo una motivación manifiestamente insuficiente para justificar ese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Cooperativa Eléctrica Benéfica San Francisco de Asís, cooperativa valenciana, entidad recurrente en el proceso contencioso-administrativo de origen, ha interesado la inadmisión del presente recurso de amparo por insuficiente justificación en la demanda de especial trascendencia constitucional del mismo e interesa la desestimación del recurso al considerar, por lo que se refiere al fondo del asunto, que la resolución del Tribunal Supremo está suficientemente motivada y resulta conforme a la doctrina del “acto aclarado”, que permite desplazar la aplicación de la norma legal interna sin necesidad de plantear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relatado en los antecedentes, interesa la estimación del recurso de amparo, al considerar que se han vulnerado los derechos fundamentales de la demandante a la tutela judicial efectiva sin indefensión y al proceso debido (art. 24.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Similitud del objeto del presente recurso con el resuelto en la STC 37/2019,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se asemejan a los que ya han sido abordados en nuestra reciente STC 37/2019, de 26 de marzo (recurso de amparo núm. 593-2017).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judicial ahora impugnada (sentencia de 12 de diciembre de 2017 recaída en el recurso de casación núm. 3864-2015) procede del mismo órgano judicial (Sección 3ª de la Sala de lo Contencioso-Administrativo del Tribunal Supremo) y declara, en este caso, la nulidad de la Orden IET/350/2014, de 7 marzo, por la que se fijan los porcentajes de reparto de las cantidades a financiar relativas al bono social correspondientes a 2014, también a instancia de una compañía eléctrica, con fundamento en la inaplicación, por contradicción con lo dispuesto en el art. 3.2 de la Directiva 2009/72/CE, del Parlamento y del Consejo, del art. 45.4 LSE, norma legal en que aquella orden tenía su sustento antes de su desarrollo reglamentario por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de la sentencia ahora impugnada se limita a efectuar una remisión a las sentencias de la misma Sala de 24 de octubre de 2016 (recursos contencioso administrativo núm. 960-2014 y 961-2014), 25 de octubre de 2016 (recurso núm. 16-2015) y 2 de noviembre de 2016 (recurso núm. 11-2015), en las que se declara inaplicable el régimen de financiación del bono social establecido en el artículo 45.4 de la Ley 24/2013, de 26 de diciembre, por resultar incompatible con la Directiva 2009/72/CE, del Parlamento Europeo y del Consejo, de 13 de julio de 2009, y se declara también inaplicables y nulos los artículos 2 y 3 del Real Decreto 968/2014, de 21 de noviembre, que desarrollan lo dispuesto en el citado artículo 45.4 de la Ley 24/2013, de 26 de diciembre, y a lo declarado en los autos recaídos en los incidentes promovidos para su ejecución. Reproduce el auto 18 de septiembre de 2017 dictado en ese mismo recurso. La sentencia de 24 de octubre de 2016, dictada en el recurso contencioso-administrativo núm. 960-2014, fue objeto de análisis en la STC 37/2019, de 26 de marzo, sobre la incompatibilidad del régimen jurídico de financiación del bono social con lo dispuesto en el art. 3.2 de la Directiva 2009/72/CE, en relación con las obligaciones de servicio público y sobre la improcedencia del planteamiento de la cuestión prejudicial con base en la doctrina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presentada por la Administración General del Estado en el presente recurso se corresponde íntegramente con la que ya formuló aquélla en el recurso de amparo núm. 593-2017, que concluyó con la citada STC 37/2019 y las alegaciones formuladas por las partes en el presente recurso de amparo también resultan coincidentes, de modo parcial en lo que se refiere a los óbices procesales e íntegramente respecto del tema de fondo, con las que fueron realizadas en recurso de amparo núm. 593-2017.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homogeneidad del presente recurso de amparo con el resuelto en la reciente STC 37/2019 permite abordar las diversas cuestiones procesales y sustantivas suscitadas por las partes con remisión expresa y puntual a lo ya dicho en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índole procesal, la entidad codemandada considera que procede la inadmisión del recurso de amparo por insuficiente justificación de la especial trascendencia constitucional, requisito procesal insubsanable de la demanda de amaro ex art. 49.1 LOTC y, subsidiariamente, por falta de la especial trascendencia constitucional que exige el art. 50.1 b) LOTC. Agrega que también procede su inadmisión por inexistencia de vulneración de un derecho fundamental tutelable en amparo, lo que constituye el tema de fondo del recurso, al que se dedicarán los fundamentos jurídicos que siguen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respecto al cumplimiento de la carga de realizar en la demanda la justificación de la especial trascendencia constitucional del recurso, en la STC 37/2019 FJ 3, b), hemos recordado que este Tribunal ha distinguido entre la justificación de la especial trascendencia constitucional, como requisito procesal que debe cumplir toda demanda (art. 49.1 LOTC), y la existencia misma de la especial trascendencia constitucional, cuya apreciación corresponde al Tribunal. Respecto del requisito procesal, reiteradamente hemos señalado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77/2016, de 25 de abril, FJ 2). Dicho requisito no se satisface con una “simple o abstracta mención” de la especial trascendencia constitucional [entre otras muchas, SSTC 178/2012, de 15 de octubre, FJ 2 b): 2/2013, de 14 de enero, FJ 3, y 32/2017, de 27 de febrero, FJ 2]. Sin embargo, lo exigido al recurrente no es el acierto sino un esfuerzo argumental tendente a disociar los argumentos dirigidos a evidenciar la existencia de la lesión del derecho fundamental de los razonamientos específicamente dirigidos a justificar que el recurso presenta especial trascendencia constitucional (SSTC 1/2015, de 19 de enero, FJ 2, 23/2015, de 16 de febrero, FJ 2, y 32/2017,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este óbice ha de ser desestimado. Como se ha explicado en los antecedentes, la demanda contiene un apartado relativo a la especial trascendencia constitucional del recurso. En dicho apartado se sostiene que 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ante el Tribunal de Justicia de la Unión Europea, con base en la existencia del “acto claro” o “acto aclarado”, por la similitud que el supuesto presenta con un caso ya resuelto por el Tribunal de Justicia y poder apreciar directamente que una disposición interna con rango de ley es contraria al Derecho europeo, añadiendo que el “caso contiene elementos de novedad que permitirá ‘aclarar’ la doctrina constitucional en un punto importante [supuestos a) y b) FJ 2,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cabe concluir, con la STC 37/2019, FJ 3, b) que “la Administración ha cumplimentado adecuadamente el gravamen de justificar la especial transcendencia constitucional, ofreciendo al respecto una argumentación disociada de aquella que ofrece para explicar las lesiones que denuncia. Además, esa justificación se anuda a una temática que no es ajena al cometido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alegación de falta de especial transcendencia constitucional del recurso, el órgano judicial ha fundamentado su decisión en el contenido de una o varias sentencias del referido Tribunal de Justicia que, aun cuando este las considera constitutivas de un ‘acto aclarado’, sin embargo no se refieren específicamente a la ley inaplicada. A lo dicho añadimos que ‘es a este Tribunal a quien corresponde apreciar si el contenido del recurso justifica una decisión sobre el fondo en razón de su especial trascendencia constitucional, que ‘encuentra su momento procesal idóneo en el trámite de admisión contemplado en el art. 50.1 LOTC (STC 192/2012, de 29 de octubre, FJ 2)’ (STC 21/2015, de 16 de febrero, FJ 2)” por lo que también resulta rechazable tal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Fondo del asunto: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dar por reproducida la exposición doctrinal contenida en nuestra reciente STC 37/2019, de 26 de marzo, FJ 4, en relación con el planteamiento de la cuestión prejudicial, concluyendo nuestra doctrina de manera sintética,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contrario al derecho a un proceso con todas las garantías (art. 24.2 CE), dejar de aplicar una norma interna (tenga ésta o no rango de ley) sin plantear cuestión prejudicial ante el Tribunal de Justicia de la Unión Europea, cuando exista una “duda objetiva, clara y terminante” sobre esa supuesta contradicción [SSTC 58/2004, FFJJ 9 a 14; 232/2015, FJ 5.a)]. Tal duda objetiva puede derivar (i) del hecho de existir un criterio generalizado de los tribunales españoles acerca de la compatibilidad entre ambas normas, que el órgano judicial no desvirtúa mediante una motivación específica en la resolución impugnada en amparo; (ii) porque pese a haberse dictado una o más resoluciones por el Tribunal de Justicia de la Unión Europea referentes a dicha norma nacional, ninguna se ha pronunciado directamente sobre las cuestiones que ahora se suscitan; (iii) o bien por la conjunción de ambas circunstancias (STC 58/2004, FFJJ 13-14); b) Resulta igualmente contrario al derecho a un proceso con todas las garantías (art. 24.2 CE), por alteración del sistema de fuentes: inaplicar una norma interna sin plantear cuestión prejudicial ante el TJUE cuando se fundamente dicha decisión en la doctrina del “acto aclarado”, en los casos en que tal doctrina no puede ser invocada; es decir, cuando no sea posible afirmar que “la cuestión planteada es materialmente idéntica a una que ya fue objeto anteriormente de una decisión con carácter prejudicial en un asunto análogo” (STJUE de 6 de octubre de 1982, asunto 283/81, Cilfit, apartado 13) como, por ejemplo, se examinó en la ya citada STC 194/2006; c) En sentido contrario a lo anterior,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5.b), con cita de las anteriores SSTC 27/2013, de 11 de febrero, FJ 7; 212/2014, de 18 de diciembre, FJ 3, y 99/2015, de 25 de mayo, FJ 3]; d) Asimismo, cumpliéndose con los requisitos de la doctrina del “acto aclarado”, también hemos dicho que “corresponde a este Tribunal velar por el respeto del principio de primacía del Derecho de la Unión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 c), con cita de las anterior STC 145/2012, de 2 de julio, FFJJ 5 y 6], En igual sentido, SSTC 148/2016, de 19 de septiembre, FJ 5.b);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remitirnos al análisis efectuado en el fundamento jurídico 5 de nuestra STC 37/2019, en relación con la normativa interna (art. 45.4 LSE) y de la Unión Europea (art. 3.2 de la Directiva 2009/72/CE) que la Sala Tercera del Tribunal Supremo ha tenido en cuenta para dirimir el litigio, así como la doctrina sobre “el acto aclarado” elaborada por el Tribunal de Justicia de la Unión Europea (STJUE de 6 de octubre de 1982, asunto 283/1981, Cilfit). Este análisis permite constatar que “en la argumentación dada por la Sala Tercera del Tribunal Supremo se reflejan las razones por las que se estima que el régimen jurídico de financiación del bono social es incompatible con lo dispuesto en el art. 3.2 de la Directiva 2009/72/CE, en relación con las obligaciones de servicio público. Ahora bien, como el órgano judicial afirma que, para dirimir las eventuales contradicciones entre la normativa interna y el Derecho de la Unión Europea debe acudirse, con carácter general, al mecanismo de la cuestión prejudicial, regulado en el art. 267 Tratado de funcionamiento de la Unión Europea; pero en el presente caso se consideró dispensado de plantearla con base en la doctrina del “acto aclarado”, la referida fundamentación jurídica también debería haber incluido una explicación sobre los concretos motivos por los que se considera que concurre el referido “acto aclarado”. Por ello, al no haberse argumentado en el sentido expuesto, cabe afirmar que el órgano judicial no ha justificado, desde la perspectiva propia del “acto aclarado” que se configura en la sentencia Cilfit, por qué se debe considerar que el presente caso es análogo a los asuntos Federutility y Anode; cuáles son las circunstancias que permiten entender que la cuestión que ahora se suscita es sustancialmente idéntica a la que se planteó en los asuntos antes indicados; o cuál es la concreta doctrina fijada por el Tribunal de Justicia de la Unión Europea que, en relación con la presente controversia, sustenta el “acto aclarado” que el tribunal a quo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y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en los fundamentos jurídicos anteriores conducen a la conclusión que debe ser estimada la queja relativa a la vulneración del derecho a un proceso con todas las garantías (art. 24.2 CE), en consideración a lo ya apreciado en nuestra STC 37/2019 en relación con la decisión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al fundamento jurídico 6 de nuestra STC 37/2019, de 26 de marzo, hemos de reconocer también en este caso la vulneración del derecho a un proceso con todas las garantías (art. 24.2 CE), que ha sido denunciada por la parte recurrente, toda vez que el órgano judicial ha inaplicado la normativa nacional por considerarla incompatible con el art. 3.2 de la Directiva 2009/72/CE, sin previamente haber recabado un pronunciamiento prejudicial del Tribunal de Justicia de la Unión Europea. Ello ha dado lugar a una preterición del sistema de fuentes y a la vulneración del derecho fundamental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apreciada la vulneración anteriormente indicada, la insuficiente motivación acerca de las razones por las que se aprecia la concurrencia del “acto aclarado”, dato este en el que la demandante funda la vulneración del derecho a la tutela judicial sin indefensión, carece ya de virtualidad, como queja de lesión autónoma, al haberse reconocido, por las razones expuestas, que el tribunal a quo no estaba exonerado de plantear la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comportar, conforme a lo dispuesto en el art. 55.1 LOTC, el reconocimiento del derecho fundamental vulnerado, la declaración de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Sección Tercera de la Sala de lo Contencioso-Administrativo del Tribunal Supremo de 12 de diciembre de 2017, recaída en el recurso de casación núm. 3864-2015, y el auto de 2 de febrero de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la sentencia, para que el indicado órgano judicial dicte nueva resolución que sea respetuosa con el derecho fundamental vulnerado, en los términos expresados en el fundamento jurídico quinto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la Sala Primera de 6 de mayo de 2019 dictada en el recurso de amparo núm. 1541-2018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1541-2018.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se contienen en el voto particular que formulé a la STC 37/2019, de 26 de marzo.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mayo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