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Alfredo Montoya Melgar, don Cándido Conde-Pumpido Tourón y la magistrada doña María Luisa Balaguer Callejón, en el recurso de amparo núm. 5784-2018,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noviembre de 2018, la entidad Penrei Inversiones, S.L., representada por la procuradora de los Tribunales doña Blanca Berriatua Horta y bajo la dirección del letrado don Marcelino Gilabert Costa, interpuso recurso de amparo contra los autos dictados por el Juzgado de Primera Instancia e Instrucción núm. 3 de Lorca en el procedimiento de ejecución hipotecaria núm. 102-2018 en fechas 27 de junio y 26 de septiembre de 2018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102-2018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abril de 2018 se acordó despachar ejecución frente las sociedades demandadas. El citado auto y el decreto de la misma fecha que le sigue fueron comunicados a las citadas entidades a través de la sede judicial electrónica el día 26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22 de junio de 2018. Por auto de 27 de junio de 2018 se acordó su inadmisión por presentación extemporánea tomando como fecha de notificación el 26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26 de abril de 2018 sino el 11 de junio de 2018 y que la comunicación remitida a través de la dirección electrónica habilitada no puede entenderse más que un aviso de puesta a disposición o descarga de su contenido durante un plazo determinado (en el caso desde el 26 de abril al 11 de junio de 2018) y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fue desestimado por auto de 26 de septiembre de 2018.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 Según el auto, si bien “es cierto que la notificación por medios electrónicos efectivamente se realiza cuando el destinatario accede a su contenido”, la recurrente “yerra en el plazo en el que puede acceder a [dicho] contenido a efectos de la práctica de la notificación el cual es de diez días naturales desde la puesta a su disposición y ello por imperativo del artículo 43.2 de la citada Ley 39/2015, de 1 de octubre, del Procedimiento Administrativo Común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órgano emisor Juzgados y Tribunales (SGAJ) en la Dirección Electrónica Habilitada del titular Penrei Inversiones, S.L. — NIF B73836173.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26 de abril de 2018 hasta el 11 de junio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 3 DE LORCA EHJ/000000102/2018’”.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mayo de 2019 la Sección Primera de este Tribunal acordó admitir a trámite el recurso de amparo y dirigir comunicación al Juzgado de Primera Instancia e Instrucción núm. 3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27 de mayo de 2019 la parte demandante formuló sus alegaciones, reiterando lo dicho en el otro 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3 de junio de 2019, interesa que se acuerde la anotación preventiva de la demanda en el registro de la propiedad, aunque esta última medida no haya sido solicitada en el recurso de amparo. Tras exponer la doctrina de este Tribunal sobre suspensión de resoluciones y actos impugnados, aduce que en el presente caso la suspensión no aparece muy fundamentada por la propia parte recurrente, resultando más eficaz la anotación preventiva de la demanda en el registro de la propiedad mediante la que se evitaría que un hipotético tercer adquirente del inmueble hipotecado quede especialmente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21 de junio de 2019 se acordó, conforme a lo dispuesto en el art. 56 LOTC, dar audiencia por tres días a Banco de Sabadell, S.A., representado por la procuradora doña Blanca María Grande Pesquero, por haberse personado en las actuaciones principales. Esta parte ha presentado escrito en que solicita la denegación de la suspensión ya que, a su juicio, la demandante de amparo no ha acreditado ningún tipo de perjuicio que pueda considerarse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102-2018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el procedimiento se encuentra en la fase inicial una vez rechazada la oposición a la ejecución y que el inmueble sobre el que se sigue tal ejecución está constituido por una vivienda cuya situación posesoria no consta.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102-2018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