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don Ricardo Enríquez Sancho, en el recurso de amparo núm. 5907-2018 promovido por la Junta de Extremadura,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noviembre de 2018, la letrada de la Junta de Extremadura, en la representación legal que ostenta, interpuso recurso de amparo contra la providencia de la Sala de lo Contencioso-Administrativo del Tribunal Superior de Justicia de Extremadura, de fecha 11 de octubre de 2018, por la que se inadmite el incidente de nulidad de actuaciones interpuesto contra el auto de 10 de septiembre de 2018, por el que, a su vez, se acordó no admitir a trámite el recurso de casación autonómico núm. 4-2018, interpuesto contra la sentencia del Juzgado de lo Contencioso-Administrativo núm. 1 de Mérida, de fecha 2 de marzo de 2018, dictada en el procedimiento abreviado núm. 154-2017, en la que se estimó la pretensión de reconocimiento de complemento salarial a un empleado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que se suspenda la ejecución de la sentencia pronunciada por el juzgado de lo contencioso-administrativo con base en el siguiente argumento: “que previendo el art. 56.2 de la Ley Orgánica del Tribunal Constitucional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mayo de 2019, la Sección Tercera de este Tribunal admitió a trámite el presente recurso de amparo, al apreciar que concurre en el mismo una especial trascendencia constitucional (art. 50.1 LOTC), ya que el asunto suscitado transciende el caso concreto al plantear una cuestión jurídica de relevante y general repercusión social o económica [STC 155/2009, FJ 2 g)]. También acordó la formación de pieza separada para la sustanciación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por providencia de fecha 20 de mayo de 2019 resolvió, en la pieza separada para la tramitación del incidente de suspensión, conceder un plazo común de tres días a la parte recurrente y al ministerio fiscal para que, conforme a lo dispuesto en el art. 56 LOTC, aleguen lo que estimen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de amparo presentó sus alegaciones en fecha 30 de mayo de 2019. Tras reiterar algunas de los argumentos relativos al fondo del asunto, justifica la petición de suspensión señalando que, de no acordarse tal medida, “se consolidaría una situación difícilmente reversible y, de este modo, se malograría también la efectividad del amparo solicitado, a efecto de desigualdad de realizar un pago de un complemento, que otros individuos en iguales condiciones no se están beneficiando del mismo. Y de esta forma no se cierre la vía [a] esta Administración de conocer un recurso establecido legalmente y por parte del Tribunal Superior de Justicia de Extremadura, se admita recurso de casación planteado y pueda resolver sobre las infracciones mencionadas”. Posteriormente añade que “el no otorgamiento de la suspensión ocasionaría a esta Administración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10 de junio de 2019, el ministerio fiscal presentó escrito de oposición a la suspensión interesada. En síntesis manifiesta que: (i) lo que interesa la parte recurrente es la suspensión de efectos de la sentencia recurrida en casación y no la decisión judicial de inadmisión del recurso de casación, que es la resolución impugnada en este recurso de amparo, lo que es determinante para su denegación (ATC 266/2005, de 20 de junio, FJ 1); (ii) en cualquier caso, la parte recurrente no ha cumplido con la carga de justificar los eventuales prejuicios que se le irrogarían, al tiempo que la suspensión solicitada tiene un contenido meramente económico en tanto que se limita a reconocer el derecho a la percepción de un complemento salarial, lo que impide considerar que tenga efectos irreparables.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Como excepción, el artículo 56.2 LOTC posibilita la suspensión del acto o sentencia cuando su ejecución produzca un perjuicio al recurrente que pudiera hacer perder su finalidad al amparo, siempre y cuando la suspensión no ocasione perturbación grave a un interés constitucionalmente protegido, ni a los derechos fundamentales o libertades de otra persona. La suspensión cautelar de las resoluciones impugnadas en amparo se configura como una medida provisional de carácter excepcional y de aplicación restrictiva, que deriva de la necesidad de preservar el interés general, de garantizar la efectividad de las decisiones de los poderes públicos y de asegurar la ejecución de las resoluciones dictadas por jueces y tribunales en el ejercicio de la potestad jurisdiccional que les confiere el artículo 117.3 CE (así, AATC 82/2018, de 17 de julio, FJ 1, y 98/2018, de 18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también ha reiterado que el demandante de amparo tiene la carga de acreditar el perjuicio y debe precisar los concretos detrimentos o daños que pueden derivarse de la ejecución del acto impugnado, así como justificar o argumentar razonadamente su carácter irreparable. Asimismo, es doctrina reiterada que el perjuicio, para ser irreparable, debe ser real y actual y que no es posible alegar un daño futuro o hipotético o un simple temor. Y, en fin, que la pérdida de la finalidad del amparo no puede equipararse a la mayor o menor dificultad, molestia o incomodidad para el recurrente (entre otros, AATC 160/2017, de 21 de noviembre, FJ 2, y 88/2018, de 17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hace a la solicitud de suspensión de la sentencia de instancia, la parte recurrente ha solicitado en su demanda que “previendo el art. 56.2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en el trámite de audiencia de este incidente de suspensión la recurrente ha presentado alegaciones en las que se ha limitado a señalar que, de no acordarse la suspensión interesada, “se consolidaría una situación difícilmente reversible y, de este modo, se malograría también la efectividad del amparo solicitado, a efecto de desigualdad de realizar un pago de un complemento, que otros individuos en iguales condiciones no se están beneficiando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recurrente residencia, de este modo, el perjuicio que fundamenta su pretensión cautelar en la posibilidad de que la persona que obtuvo un pronunciamiento favorable en la sentencia de 2 de marzo de 2018, dictada por el Juzgado de lo Contencioso-Administrativo núm. 1 de Mérida, consiga, en ejecución de la misma, el cobro del complemento salarial controvertido en el pleito judicial; complemento que, según afirma la actora, no habrían percibido otros empleados públicos. Así pues, el perjuicio se residencia en un daño de naturaleza económica, aunque el acento parece situarse, más que en la entidad del perjuicio mismo, en la situación de desigualdad supuestamente consumada entre distintos empleados públicos. Se pone de manifiesto, con ello, que lo que se interesa realmente en el presente incidente cautelar no es tanto la suspensión de las resoluciones impugnadas en amparo —la providencia de inadmisión del incidente de nulidad de actuaciones y el auto inadmitiendo el recurso de casación— sino, más bien, la de los pronunciamientos de la sentencia dictada en instancia, que ha ganado firmeza, a la que no se achaca, en la demanda de amparo, vulneración constitucional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delimitada la petición formulada, hemos de recordar que, en la doctrina de este Tribunal los perjuicios de carácter patrimonial o económico, por más que puedan producir efectos desfavorables a quien demanda amparo, no deben considerarse, en principio,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(entre tantos otros, ATC 9/2018, de 5 de febrero, FJ 2,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Sólo en el caso de que el recurrente en amparo justificase cumplidamente que el no otorgamiento de la suspensión le ocasionaría un perjuicio irreparable que haría perder al amparo su finalidad, y siempre que de dicha medida cautelar no se siga una perturbación grave de los intereses generales o de los derechos y libertades fundamentales de un tercero, procedería acordar la suspensión interesada. Por ello, como se recuerda en el ATC 5/2018, FJ 2, se ha acordado la suspensión en supuestos muy concretos, en los que la ejecución de las resoluciones recurridas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este sea irrecuperable (por todos, AATC 565/1986, 132 52/1989, 222/1992, 183/1996, 5/1997, 52/1997, 287/1997, 99/1998, y 161/1999), así como de demolición de viviendas (ATC 225/1999, de 27 de septiembre)”.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e incluso en supuestos de privación temporal del uso de la vivienda de la que es propietario el recurrente y que constituye su residencia habitual (por ejemplo, ATC 26/2011, de 14 de marzo, FJ 1). En resumen, la no reparación del perjuicio es pacíficamente aceptada en casos de embargo y adjudicación a un tercero de buena fe de ciertos bienes inmuebles o por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 doctrina expuesta y tras examinar las razones esgrimidas por la entidad pública recurrente para fundamentar su petición cautelar, hemos de llegar a la conclusión de que, en el caso que se nos plantea, la carga que pesaba sobre la actora en cuanto a la acreditación de la imposibilidad de reparación del perjuicio invocado no ha sido debidamente satisfecha. La entidad recurrente se ha limitado a aludir genéricamente en sus alegaciones a la desigualdad que, a su juicio, conllevaría el cobro por parte de una empleada pública —la litigante en el pleito del que deriva el presente proceso de amparo— de un determinado complemento salarial, no reconocido con carácter general por la administración demandante de amparo a los empleados que se encuentran a su servicio en un concreto sector de actividad. A falta de mayor concreción, ninguna conexión puede establecerse entre esa supuesta desigualdad en el cobro de un complemento salarial y la cuestión realmente crucial en el presente incidente de suspensión, que es la no posibilidad de reparación del perjuicio invocado. Siendo tal perjuicio, en el supuesto que nos ocupa, de naturaleza patrimonial o económica (y, siendo, en principio, reversible, especialmente para una administración pública en relación con sus propios empleados), es claro que la actora no ha levantado la carga que sobre ella pesaba de acreditar su carácter irreparable. A falta de tal argumentación, el presente proceso de amparo, que se refiere a una cuestión estrictamente procesal, ha de discurrir sin interferir en el derecho que puede asistir a una empleada pública a instar la ejecución de un pronunciamiento económico favorable legítimamente obtenido de los tribunales de justicia en relación con su empleadora.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y último lugar, respecto de la petición de suspensión del auto de 10 de septiembre de 2018 que negó tener por preparado el recurso de casación de la demandada y aquí recurrente, impidiendo su continuación, no procede acceder a lo solicitado en aplicación de la reiterada doctrina de este Tribunal Constitucional, de la que resulta ser exponente el ATC 156/2012, de 21 de agosto, FJ 1, con cita del anterior ATC 56/2012, de 26 de marzo, FJ 2 y las resoluciones que en este último se citan (entre ellas, el ATC 314/2006, de 25 de septiembre, FJ 2, también a propósito de la inadmisión de un recurso de casación), en cuya virtud: “las resoluciones judiciales de mero contenido negativo, como son la que cierran la posibilidad a continuar con un procedimiento o acceder a un recurso, no son susceptibles de suspensión, puesto que de lo contrario equivaldría a adelantar un eventual fallo estimatorio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además diciendo el mismo ATC 156/2012, FJ 2: “En el presente caso las recurrentes solicitan la suspensión de la decisión judicial por la que se acuerda no tener por preparado un recurso de apelación […]. No procede acceder a la suspensión solicitada, ya que, al margen de tratarse de una decisión de contenido negativo, por lo que la suspensión supondría el adelantamiento de un eventual fallo estimatorio, las recurrentes no han cumplido con la carga que les incumbe de justificar y argumentar razonadamente los concretos perjuicios que se derivarían de la circunstancia de mantener por el momento la imposibilidad de formular recurso de apelación. En cualquier caso, además, tampoco cabe apreciar que la denegación de la suspensión sea susceptible de hacer perder al amparo su finalidad ya que, como destaca el ministerio fiscal, en caso de estimarse el presente recurso el restablecimiento pleno del derecho podría lograrse declarando la nulidad de las resoluciones y la retroacción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esos mismos términos ha de merecer una respuesta negativa la solicitud aquí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