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94</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18 de julio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los magistrados don Fernando Valdés Dal-Ré, don Antonio Narváez Rodríguez y don Ricardo Enríquez Sancho, en el recurso de amparo núm. 5811-2018, promovido por Penrei Inversiones, S.L., en pleito civil,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7 de noviembre de 2018, tuvo entrada en el registro general de este Tribunal Constitucional un escrito de la procuradora doña Blanca Berriatua Horta, en representación de la entidad Penrei Inversiones, S.L., por el que interpuso recurso de amparo contra el auto de 10 de julio de 2018 del Juzgado de Primera Instancia e Instrucción núm. 3 de Lorca, que inadmitió el escrito de oposición a la ejecución hipotecaria promovida por Banco de Sabadell. S.A., y contra el auto del mismo Juzgado, de 24 de septiembre de 2018, que desestimó el recurso de reposición interpuesto contra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10 de julio de 2018, el juzgado de primera instancia e instrucción dictó un auto en el procedimiento de ejecución hipotecaria núm. 101-2018 por el que acordó: “Inadmitir a trámite la oposición formulada por la parte ejecutada Penrei Inversiones, S.L., y Euro Inversiones Inmobiliarias Costa Sur S.L.”, advirtiendo en pie de recurso que contra dicha resolución cabía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basó su decisión, conforme a su fundamento de Derecho único, en lo siguiente: “Se establece en el artículo 134 de la Ley de enjuiciamiento civil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y previniéndose en el artículo 695 LEC, que el escrito de oposición a la ejecución deberá ser presentado dentro de los diez días siguientes al de la notificación del auto y decreto por el que se despacha ejecución y/o de la medida concreta de ejecución, y constando en el presente supuesto que la parte ejecutada se ha opuesto pasado que ha sido el plazo que legalmente se le otorga, debe ser inadmitida su oposición por extemporánea, de conformidad con lo establecido en los preceptos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Formalizado contra dicho auto recurso de reposición por la entidad aquí demandante de amparo, el juzgado a quo dictó auto el 24 de septiembre de 2018 desestimándolo, con confirmación de la resolución recurrida, en virtud de los motivos expresados en su razonamiento jurídico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siendo indiscutible la condición de personas jurídicas de las recurrentes, las mismas desde el 1 de enero de 2017 (disposición transitoria cuarta de la Ley 42/2015, de 5 de octubre, de reforma de la Ley de enjuiciamiento civil) están obligadas a relacionarse con la Administración de Justicia por medios electrónicos [art. 14. 2 a) de la Ley 39/2015 LPAAP y art. 273. 3 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Interpretan las recurrentes de forma errónea la normativa aplicable. Es cierto que la notificación por medios electrónicos efectivamente se realiza cuando el destinatario accede a su contenido. Ahora bien, hierran [sic] en el plazo en el que puede acceder a su contenido a efectos de la práctica de la notificación, el cual es de diez días naturales desde la puesta a su disposición y ello por imperativo de la [sic] art. 43 LPACAP. Así dice el artículo 43. 2 de la citada ley que ‘las notificaciones por medios electrónicos se entenderán practicadas en el momento en que se produzca el acceso a su contenido. Cuando la notificación por medios electrónicos sea de carácter obligatorio, o haya sido expresamente elegida por el interesado, se entenderá rechazada cuando hayan transcurrido diez días naturales desde la puesta a disposición de la notificación sin que se acceda a su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consta que la notificación se puso a disposición de las recurrentes en fecha 7 de mayo de 2018 no accediendo al contenido hasta el día 21 de junio de 2018 (fuera de los diez días naturales), presentando los escritos de oposición a la ejecución en fecha 9 de julio de 2018 claramente fuera del plazo legalmente establecido en el art. 556. 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traía el siguiente pie de recurso: “Notifíquese esta resolución a las partes personadas, haciéndoles saber que es firme, y contra la misma no cabe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causan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tratándose de su primer emplazamiento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reconoce que si bien la recurrente, por ser una persona jurídica, viene por ello obligada a relacionarse con la administración de justicia a través de medios electrónicos, no obstante cuando es el primer emplazamiento y por tanto todavía aquélla “no ha tenido ninguna relación con el juzgado correspondiente en este especial y concreto procedimiento”, ha de practicarse mediante cédula con entrega en papel de la documentación correspondiente, conforme establece el art. 273 LEC, en relación con los arts. 135, 152, 162 y 155 de la misma LEC. Este último,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Añade que incluso la notificación realizada tampoco cumple con las formalidades de las comunicaciones electrónicas. Pese a todo esto, el auto dictado por el juzgado el 10 de julio de 2018 declaró extemporánea la presentación del escrito de oposición, computando el plazo de diez días desde la fecha de envío de aquel correo a través de la dirección electrónica habilitada.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auto del 24 de septiembre siguiente que desestimó la reposición, se rechaza por la recurrente que haya fundamentado su decisión en la Ley de procedimiento administrativo común, “que consideramos inaplicable al ámbito procesal civil, puesto que además de existir normas concretas al respecto, no se dan en uno y otro ámbito las mismas garantías procedimentales”; siendo que en materia de notificación de actos procesales existe su propia normativa tanto en la LEC —los artículos arriba citados—, como en el haz de garantías del propio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solicita que este Tribunal Constitucional, con estimación del amparo, acuerde la nulidad de ambas resoluciones judiciales y ordene reponer las actuaciones al momento previo al dictado de la primera de aquéllas, a fin de que el juzgado a quo admita a trámite la “demanda de oposición al despacho de ejecución formulada por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 de los pronunciamientos judiciales que han sido objeto de impugnación, con la celebración de subasta y la eventual adjudicación a terceros, pueden hacer perder al recurso de amparo su finalidad, por lo que solicito la suspensión de la continuación del procedimiento de ejecución hipotecaria 101-2018 seguido ante el Juzgado de Primera Instancia e Instrucción número 3 de Lorca, hasta tanto sea resuelto el presente recurso de amparo, poniéndolo en conocimiento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Sección Cuarta, de este Tribunal Constitucional, dictó providencia el 17 de junio de 2019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porque el recurso plantea un problema o afecta a una faceta de un derecho fundamental sobre el que no hay doctrina de este Tribunal [STC 155/2009, FJ 2 a)], así como que el recurso puede dar ocasión al Tribunal para aclarar o cambiar su doctrina, como consecuencia de cambios normativos relevantes para la configuración del contenido del derecho fundamental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habiendo sido ya interesado testimonio de las actuaciones correspondientes al procedimiento de ejecución hipotecaria número 101-2018 en el recurso de amparo número 5810-2018, líbrese comunicación al Juzgado de Primera Instancia e Instrucción núm. 3 de Lorca, a fin de que se proceda a emplazar,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dictada por la Sección Cuarta de este Tribunal en la misma fecha de la admisión del recurso, el 17 de junio de 2019,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entidad recurrente presentó su escrito de alegaciones con fecha 25 de junio de 2019, interesando se acceda a lo solicitado en cuanto a la suspensión del procedimiento de ejecución hipotecaria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alega que la continuación de tal procedimiento, “con la celebración de subasta y la eventual adjudicación a terceros harían perder al recurso de amparo su finalidad y provocarían perjuicios patrimoniales para mi representada de imposible o difícil reparación”. Invoca a su favor lo resuelto por este Tribunal en su ATC 287/2013, de 16 de diciembre, reiterando a renglón seguido las vulneraciones constitucionales de fondo que aduce en su demanda, e indicando que el celebrarse la subasta y la posible adjudicación del bien inmueble a terceros de buena fe, con “desposesión del bien ejecutado, conllevaría a situaciones irreversibles, con un inevitable perjuicio para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fiscal ante este Tribunal Constitucional formalizó su escrito de alegaciones en esta pieza el 8 de julio de 2019, interesando que se adopte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cita del art. 56.2 LOTC y reproducir lo declarado en el ATC 127/2015, de 20 de julio, FJ 1, en relación con la necesidad de acreditar por el interesado la existencia de un perjuicio irreparable, para poder acordarse la suspensión de los actos impugnados en amparo, sostiene el fiscal que en el presente caso, la “suspensión solicitada comportaría la paralización del procedimiento ejecutivo que, por su propia naturaleza, goza de las características de celeridad y sumariedad pero, también es obvio que, de continuar el procedimiento este acabará con la subasta del bien hipotecado y con la eventual adjudicación a un tercero de buena fe lo que haría irreversible esa situación aun cuando el amparo solicitado prosperara. Para conseguir el efecto protector deseado por la recurrente y enervar los indeseados efectos de la paralización del procedimiento, se puede acordar la anotación preventiva de la demanda de amparo en el registro de la propiedad, ya que de esta manera se daría publicidad frente a terceros de la pendencia del recurso, lo que conlleva el conocimiento de los efectos que sobre la titularidad de la vivienda puede tener el otorgamiento del amparo en su caso, evitando que el hipotético adquirente queda especialmente protegido por su buena fe en la adquisición”. Cita en apoyo de su petición el art. 56.3 LOTC, que permite al Tribunal adoptar toda medida que evite que el recurso de amparo pueda perder su finalidad, así como el ATC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 finalmente en que es procedente la medida de anotación preventiva, pues de lo contrario “la tutela que pudiera otorgarse por este tribunal no sería completa si se deja abierta la posibilidad de que la finca sea transmitida a tercero de buena fe mientras se sustancia y resuelve el presente proceso de amparo, por lo que se interesa” su adopción.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101-2018 seguido en el Juzgado de Primera Instancia e Instrucción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101-2018 seguido en el Juzgado de Primera Instancia e Instrucción núm. 3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