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529-2019, promovido por la entidad mercantil Lannemann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enero de 2019, tuvo entrada en el registro general de este Tribunal Constitucional un escrito de la procuradora doña Lourdes Fernández Luna Tamayo, en representación de la entidad Lanneman, S.L., por el que interpuso recurso de amparo contra el auto de 29 de octubre de 2018 del Juzgado de Primera Instancia núm. 84 de Madrid, que declaró no haber lugar a la nulidad de actuaciones instada por la ahora recurrente respecto del anuncio de publicación de subasta de una finca de la que aquélla era titular en el portal de subastas del “Boletín Oficial del Estado” (“BOE”).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curso del procedimiento de ejecución de títulos judiciales núm. 1134-2011, seguido ante el Juzgado de Primera Instancia núm. 84 de Madrid, fue dictado un decreto de 27 de julio de 2017, por el que el letrado de la administración de justicia de dicho juzgado acordó sacar a subasta electrónica la finca núm. 36.385 (sic), inscrita a favor de la entidad Lannemamn, S.L., en el registro de la propiedad de Valdemoro (Madrid). En la citada resolución se hacía una descripción del inmueble. Este decreto fue posteriormente aclarado por otro posterior del 4 de septiembre siguiente, que subsanó la numeración de la finca registral en el sentido de que el número correcto era el “36.835”.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Firme el anterior decreto, con fecha 6 de abril de 2018, el juzgado, por medio de diligencia de ordenación, acordó proceder al anuncio y consiguiente publicidad de la subasta, dándola de alta en el portal de subastas del “Boletín Oficial del Estado”. Para ello, remitió edicto que incluía las condiciones generales y particulares de la subasta y de los bienes a subastar. El edicto, que llevaba fecha del día 7 de mayo siguiente, fue publicado en el portal de subastas electrónicas del “BOE” con la identificación “subasta-sub-ja-2018-97427”. En el anuncio se hacía mención a que la finca tenía la condición de “local comercial” y no de “solar”, que, en el criterio de la parte ahora recurrente, era lo que procedía.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la vista del error advertido, en fecha 30 de mayo de 2018, la parte ahora demandante de amparo presentó un escrito en el que solicitaba del juzgado que declarase “la nulidad del anuncio de la subasta” en el mencionado portal de subastas, así como la retroacción de las actuaciones y la procedencia de insertar nuevamente el anuncio, de modo correcto, en “la categoría de solares”, con comienzo de un nuevo plazo para la presentación de posturas.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anterior solicitud fue contestada por diligencia de ordenación del juzgado de 2 de julio de 2018 por la que declaró “no haber lugar a acordar la nulidad de la subasta electrónica solicitada por la parte ejecutada, quedando pendiente de dictar el decreto de aprobación del remate y/o adjudicación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la anterior diligencia de ordenación, la representación de la entidad Lanneman, S.L., formalizó recurso de reposición que fue estimado por medio de decreto de 18 de octubre de 2018, en el sentido de dejar sin efecto la anterior diligencia de ordenación, pero con la única mención de dar cuenta a la “Sra. magistrada de la solicitud de nulidad del anuncio de la subasta en el portal de subasta de la agencia estatal del ‘Boletín Oficial del Estado’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Finalmente, por medio de auto de 29 de octubre de 2018, el juzgado acordó no haber lugar “a declarar la nulidad de actuaciones interesada por Lanneman, S.L.”. Solicitada por esta parte la aclaración del mismo, el juzgado dictó un nuevo auto de 14 de diciembre de 2018, que desestimó la solicitud así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 resolución judicial impugnada ha incurrido en vulneración de su derecho a la tutela judicial efectiva (art. 24.1 CE) porque, en primer lugar, entiende que el juzgado ha acordado denegar su solicitud de declaración de nulidad de la subasta para subsanar el error advertido en el anuncio publicado en el portal de subastas del “BOE”, toda vez que la categoría asignada al inmueble objeto de licitación, la de “local comercial”, era errónea y debería haber sido corregida por la de “solar”, que era la que realmente correspondía al inmueble. Y, en segundo término, que el auto adolece de una sucinta argumentación que, a criterio de la parte recurrente, vulnera el derecho de la parte a obtener una resolución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“otrosí tercero digo”, la demanda solicita la suspensión del procedimiento de ejecución de títulos judiciales núm. 1134-2011 y, en particular, la de la subasta electrónica sobre el bien anteriormente referenciado, pues, según señala, el bien sólo se halla “pendiente de adjudicación y remate a favor del postor que planteó la puja más alta (la propia ejecutante) y ello por cuanto de seguirse con la adjudicación citada se estarían causando a mi mandante, en su condición de recurrente, perjuicios irreparables cuando podrá ver finalmente adjudicado su inmueble a favor de la ejecutante con el consiguiente acceso al registro de la propiedad, pudiendo dicha entidad proceder a su enajenación, gravamen o disposición, estando los terceros protegidos por la fe pública registral”. Subsidiariamente y de no accederse a la suspensión interesada, la parte solicita la medida cautelar “consistente en la anotación preventiva en el registro de la propiedad de la pendencia del presente recurso de amparo sobre la titularidad de la parcela subastada”.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2 de julio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núm. 84 de Madrid a fin de que, en plazo que no exceda de diez días, remita certificación o fotocopia adverada de las actuaciones correspondientes al procedimiento de ejecución de títulos judiciales núm. 1134-2011;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2 de julio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el día 11 de julio de 2019, insistiendo en su interés por que se acceda a lo solicitado en cuanto a la suspensión del procedimiento de ejecución hipotecaria referido y, de modo subsidiario, en que se acuerde la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formalizó su escrito de alegaciones en esta pieza el 18 de julio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56.1 LOTC y reproducir lo reiteradamente declarado en diferentes resoluciones por este Tribunal acerca de la necesidad de acreditar por el interesado la existencia de un perjuicio irreparable, para poder acordarse la suspensión de los actos impugnados en amparo, sostiene el fiscal que, en el presente caso, la parte actora “se limita a la mera petición, sin explicitar ninguna razón salvo la mera pérdida de finalidad del recurso en el caso de que llegara a celebrarse la subasta de los bienes inmuebles en conflicto y su adjudicación a un tercero que actuaría de buena fe. Acordar la suspensión solicitada comportaría la drástica medida que supondría la paralización del procedimiento ejecutivo, que por su propia naturaleza goza de las características de celeridad y sumariedad”.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las medidas cautelares instadas, principal y subsidiariamente, por la parte recurrente en amparo y dirigidas frente al procedimiento de ejecución de títulos judiciales núm. 1134-2011, seguido en el Juzgado de Primera Instancia núm. 84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objeto de la subasta.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de títulos judiciales núm. 1134-2011, seguido en el Juzgado de Primera Instancia núm. 84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