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en el recurso de amparo núm. 5565-2018, interpuesto por don Carlos Santiago Contreras en causa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octubre de 2018, la procuradora de los tribunales doña María Teresa Marcos Moreno, en nombre y representación de don Carlos Santiago Contreras, interpuso recurso de amparo contra la providencia del Juzgado de Primera Instancia e Instrucción núm. 1 de Valdemoro de 1 de octubre de 2018, por la que se inadmitió el incidente excepcional de oposición y de nulidad de actuaciones promovido en el procedimiento de ejecución hipotecaria núm. 31-2009.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desprende de la demanda, frente al actor se siguió procedimiento de ejecución hipotecaria a instancias de BBVA, S.A., en el cual se despachó ejecución por auto de 21 de septiembre de 2009, que no hizo referencia al examen de oficio de las cláusulas contractuales, por si pudieran resultar abusivas. La representación designada al actor de oficio formuló oposición en septiembre de 2010 con base a la normativa vigente en aquel momento, sin invocar, por tanto, el carácter abusivo de las cláusulas del préstamo hipotecario. El juzgado desestimó la oposición mediante auto de 21 de enero de 2011, prosiguiendo los siguientes trámites hasta la subasta de la finca hipotecada, que fue adjudicada al banco ejecutante al quedar aquella desierta, manifestando el mismo su intención de ceder el remate a un tercero. Acordado el lanzamiento y suspendido a causa de la incorrección en las notificaciones personales del mismo, el demandante de amparo presentó incidente excepcional de oposición y de nulidad de actuaciones, planteando la existencia de cláusulas abusivas de vencimiento anticipado e intereses moratorios en el título ejecutado, así como la obligación del órgano judicial de proceder a su control de oficio, de acuerdo con las sentencias dictadas sobre el particular por el Tribunal Supremo y por el Tribunal de Justicia de la Unión Europea. El juzgado dictó providencia inadmitiendo el incidente, con el argumento de que tal pretensión debía haberse formulado por medio de oposición dentro del plazo otorgado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se queja de la vulneración de su derecho a la tutela judicial efectiva (art. 24 CE), en relación con los arts. 10.2 y 96.1 (principio de primacía del derecho comunitario), 47 (derecho a una vivienda digna) y 51 (especial protección de los consumidores) del texto constitucional. Por una parte, porque se ha solicitado un pronunciamiento sobre el valor constitucional, y para el ámbito desplegado por el art. 24.1 CE, de la nueva jurisprudencia europea y nacional sobre cláusulas abusivas, y su significado retroactivo (restrospective overruling) o prospectivo (prospective overruling) en relación con un asunto sometido a un órgano judicial, que ha negado dicho análisis a pesar de no haberse pronunciado antes sobre ese particular, y no haber finalizado de forma irreversible y procesal el procedimiento. Por otra, por la ausencia de una resolución motivada sobre el fondo del asunto, pues el juzgado inadmite la pretensión formulada en el incidente al entender que debió oponerse la abusividad en el plazo de oposición, cuando por ley eso estaba vedado, como de hecho entendió el auto resolutorio de la oposición, que rechazó los argumentos esgrimidos por no encontrarse entre los motivos tasados del art. 695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la suspensión de la ejecución del curso del procedimiento y de las diligencias de lanzamiento que en el mismo se acuerden, ya que dicha ejecución haría perder al amparo su finalidad. Señala que, de proseguirse la ejecución, se produciría el lanzamiento de la vivienda, de la que se vería privado el actor, siendo así que lo que se planteaba era la nulidad, por abusiva, de una cláusula que ha servido de fundamento a la ejecución. Resulta por ello evidente que se le ocasionaría un perjuicio irreparable, sin que la suspensión suponga una perturbación grave para los intereses generales ni para los derechos o libertades de terceros, por cuanto el adjudicatario de la vivienda es el propio banco, a través del fondo de titulación de activos, sin que este fondo tenga necesidad de uso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15 de julio de 2019, la Sección Segunda de este Tribunal acordó admitir a trámite el recurso de amparo al apreciar que el asunto trasciende del caso concreto porque plantea una cuestión jurídica de relevante y general repercusión social y económica [STC 155/2009, FJ 2 g)], así como dirigir comunicación al Juzgado de Primera Instancia e Instrucción núm. 1 de Valdemoro, a fin de que en el plazo que no exceda de diez días remitiera certificación o fotocopia adverada de las actuaciones correspondientes al procedimiento de ejecución hipotecaria núm. 31-2009, y emplazar a quienes hubieran sido parte en el proceso del que trae causa el presente recurso, excepto la parte recurrente en amparo, para que en el plazo de diez días puedan comparecer en el mismo,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actor presentó escrito de alegaciones el 18 de julio de 2019, en el que daba por reproducidas las efectuadas en el escrito de interposición del recurso, señalando la similitud del presente caso con el resuelto por la STC 31/2019, lo que determina la apariencia de fumus boni iuris del recurso, e invocando, a efectos de la suspensión, el ATC 58/2018, basado en el mismo presupuesto concurrente en el presente procedimiento. Asimismo, se indicaba que el juzgado tiene acordado el lanzamiento para el día 8 de octubre de 2019, acompañando la diligencia de ordenación de 28 de marzo de 2019 que señala la práctica del mismo en la fecha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registrado el 29 de julio de 2019, interesó que se otorgue la suspensión solicitada o, alternativamente, que se acuerde la anotación preventiva de la demanda en el registro de la propiedad, aunque esta última medida no haya sido solicitada en el recurso de amparo. Tras exponer la doctrina de este Tribunal sobre suspensión de resoluciones y actos impugnados, aduce que en el presente caso la suspensión está justificada, pues si se consumase la trasmisión de la vivienda al ejecutante o al cesionario de su derecho, posteriores trasmisiones a título oneroso a terceras personas colocarían al bien en situación de difícil recuperación, ya que lo convertirían en prácticamente irreivindicable. Agrega que si se hubiese producido el lanzamiento, la suspensión solicitada no evitaría los perjuicios a que se hacía referencia, de modo que, en tal caso, resultaría más eficaz la anotación preventiva de la demanda en el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el demandante de amparo respecto del procedimiento de ejecución hipotecaria núm. 31-2009 seguido ante el Juzgado de Primera Instancia e Instrucción núm. 1 de Valdemoro.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este Tribunal ha entendido por perjuicio irreparable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(por todos,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particular,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como nos recuerda el ATC 58/2018, de 4 de junio, FJ 2, “[e]ste Tribunal ha admitido de forma reiterada —entre otros muchos, en los AATC 74/2013, de 8 de abril, FJ 2; 152/2013, de 8 de julio, FJ 2; 37/2014, de 10 de febrero, FJ 2; 59/2015, de 16 de marzo, FJ 2; 48/2016, de 29 de febrero; 106/2017, de 17 de julio, FJ 1, y 21/2018, de 5 de marzo, FJ 3—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declaración de nulidad de la providencia de 1 de octubre de 2018, que inadmitió el incidente de nulidad de actuaciones promovido por el actor, así como la de las diligencias posteriores, con reconocimiento de su derecho a obtener la realización del correspondiente control del carácter abusivo de determinadas cláusulas del préstamo hipotecario. En función de ello, la suspensión interesada trasciende de la resolución formalmente impugnada, que es la referida providencia por la que se inadmitió el incidente de nulidad de actuaciones. De las actuaciones aportadas se desprende que el bien inmueble hipotecado fue adjudicado a la entidad BBVA, S.A., que manifestó su voluntad de ceder el remate, y consta igualmente que la parte ejecutante ha solicitado el lanzamiento del actor, que ha sido fijado por el órgano judicial para el 8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tales circunstancias, y de acuerdo con la doctrina constitucional expuesta, procede acordar la suspensión solicitada, puesto que, en caso contrario, se privaría al recurrente en amparo de la posesión de su vivienda mediante la ejecución del lanzamiento acordado por el órgano judicial, lo que abocaría a una situación difícilmente reversible, que haría perder la finalidad al presente recurso (en este sentido, ATC 37/2014, de 10 de febrero, FJ 3). Además, no se advierte que la suspensión de la ejecución pueda entrañar una perturbación grave a un interés constitucionalmente protegido o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línea con lo resuelto en el ATC 21/2018, de 5 de marzo, debe acordarse también la medida cautelar de anotación preventiva de la demanda de amparo en el registro de la propiedad de acuerdo con lo alegado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medida cautelar que este Tribunal, de conformidad con el artículo 56 LOTC, puede adoptar de oficio o a instancia de parte, con fundamento en el artículo 42.1 de la Ley hipotecaria (AATC 274/2002, de 18 de diciembre, 257/2003, de 14 de julio, 230/2007, de 7 de mayo, FJ 3; 415/2007, de 5 de noviembre, FJ 4, y 28/2009, de 26 de enero, FJ 2), limitándose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anotación preventiva de la demanda, que tiene por objeto garantizar el derecho de los demandantes de amparo frente a eventuales actos de disposición, mediante el anuncio registral frente a terceros de la pendencia del proceso constitucional con sus eventuales consecuencias sobre los derechos inscritos, ha sido considerada por este Tribunal como medida idónea en los supuestos en que ya se ha producido la adjudicación del inmueble, (AATC 282/2014, de 17 de noviembre, FJ 5; 59/2015, de 16 de marzo, FJ 3, y 106/2017, de 17 de julio, FJ 3), como ocurre también en el caso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entiende que las circunstancias que presenta el supuesto sometido a consideración determinan la procedencia de acordar dicha medida cautelar, si bien no de modo alternativo respecto de la suspensión, sino junto a ella, tal y como, ante situaciones similares, acordamos en los citados AATC 282/2014, de 17 de noviembre, y 59/2015, de 16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sin prejuzgar la decisión de fondo del recurso, conducen a acordar la suspensión solicitada, que ha de entenderse referida concretamente a la entrega de la posesión de la finca adjudicada, y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cautelarmente el lanzamiento de la finca adjudicada en el procedimiento de ejecución hipotecaria núm. 31-2009, seguido ante el Juzgado de Primera Instancia e Instrucción núm. 1 de Valdemoro.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