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30 de septiembre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5541-2018, promovido por Euroinversiones Inmobiliarias Costa Sur,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25 de octubre de 2018, la entidad Euroinversiones Inmobiliarias Costa Sur, S.L., representada por la procuradora de los tribunales doña Blanca Berriatua Horta y bajo la dirección del letrado don Marcelino Gilabert García, interpuso recurso de amparo contra los autos dictados por el Juzgado de Primera Instancia e Instrucción núm. 3 de Lorca en el procedimiento de ejecución hipotecaria núm. 86-2018, en fechas 10 de julio de 2018 y 13 de septiembre de 2018, por los que, respectivamente, se inadmitió por extemporánea la oposición a la ejecución hipotecaria y se confirmó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3 de Lorca se sigue procedimiento de ejecución hipotecaria núm. 86-2018, promovido por la entidad Banco de Sabadell, S.A., frente a la sociedad Euroinversiones Inmobiliarias Costa Sur, S.L.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 de mayo de 2018 se acordó despachar ejecución frente a la sociedad demandada. El citado auto y el decreto de la misma fecha que le sigue fueron comunicados a la citada entidad a través de la sede judicial electrónica el día 3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Euroinversiones Inmobiliarias Costa Sur, S.L., presentó escrito de oposición a la ejecución despachada con fecha 2 de julio de 2018. Por auto de 10 de julio de 2018 se acordó su inadmisión por presentación extemporánea, tomando como fecha de notificación el 3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alegando, en síntesis, que las actuaciones de notificación y requerimiento no habían sido realizadas el día 3 de mayo de 2018, sino el 19 de junio de 2018, y que la comunicación remitida a través de la dirección electrónica habilitada no podía entenderse nada más que como un aviso de puesta a disposición o descarga de su contenido durante un plazo determinado (en el caso desde el 4 de mayo al 19 de junio de 2018) y entenderlo de otro modo, además de infringir los arts. 135, 152, 160, 162 de la Ley de enjuiciamiento civil (LEC), vulneraba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recurso fue resuelto por auto de 13 de septiembre de 2018 en sentido desestimatorio, al constatar su condición de persona jurídica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de procedimiento administrativo común de las administraciones públicas (LPACAP)  y 373.3 LEC, y determina que la recurrente yerra “en el plazo en el que puede acceder a su contenido a efectos de la práctica de la notificación el cual es de diez días naturales desde la puesta a su disposición y ello por imperativo del art. 43 de la citada LPACAP”, que reproduce.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El citado correo tiene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recibido una Notificación del organismo emisor Juzgados y Tribunales (SGAJ) en la Dirección Electrónica Habilitada única del titular Euro-Inversiones Inmobiliarias Costa Sur SL – NIF B73258006.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notificación estará disponible en su Dirección Electrónica Habilitada única desde el 04-05-2018 hasta el 19-06-2018. Si no procediera a su lectura en el plazo indicado se producirán los efectos correspondientes, según la normativa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que conste como leída, por favor acceda a http://notificaciones.060.es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través de su DEH podrá también consultar notificaciones de otras Administraciones.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Asunto: Jdo. 1 inst. e instr. núm. 3 de Lorca ejh/0000086/2018”.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entidad recurrente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solo dirigido al legislador, sino también al interprete,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si como consecuencia de su continuación “se decretara la celebración de subasta y la eventual adjudicación a terceros, puede hacer esto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junio de 2019 la Sección Segunda de este Tribunal acordó admitir a trámite el recurso de amparo y dirigir comunicación al Juzgado de Primera Instancia e Instrucción núm. 3 de Lorca, a fin de que, en el plazo de diez días, remitiera certificación o fotocopia adverada de las actuaciones correspondientes a la ejecución hipotecaria núm. 86-2018; debiendo previamente emplazarse a quienes hubieran sido parte en el procedimiento, excepto la parte recurrente en amparo, para que en el plazo de diez días pudieran comparecer en el recurso de amparo, si lo desean.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través de escrito presentado el 26 de junio de 2019, la parte demandante formuló sus alegaciones, reiterando lo dicho en el otrosí de su demanda y trascribiendo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2 de julio de 2019, interesa que se acuerde la anotación preventiva de la demanda en el registro de la propiedad, aunque esta última medida no haya sido solicitada en el recurso de amparo. Tras exponer la doctrina de este Tribunal sobre suspensión de resoluciones y actos impugnados, considera que la aplicación al caso de dicha doctrina nos debe llevar a considerar que nos encontramos en uno de esos supuestos en que, de no adoptarse la medida de anotación preventiva de la demanda, la tutela que pudiera otorgarse por este Tribunal no sería completa si se deja abierta la posibilidad de que la finca sea transmitida a un tercero de buena fe mientras se sustancia y resuelve el presente recurso de amparo, por lo que interesa la anotación preventiva de la demanda en el registro de la propiedad evitando así situaciones cuya reversibilidad sería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86-2018,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su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79/2019, 80/2019 y 81/2019, todos ellos de 15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86-2018,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