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114</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7 de octubre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Primera del Tribunal Constitucional compuesta por don Juan José González Rivas, presidente, y el magistrado don Alfredo Montoya Melgar, en el recurso de amparo núm. 3251-2019, promovido por associació atenes de juristes pels drets civils en auto de 14 de enero de 2019 de la Sala de lo Penal del Tribunal Supremo que acordó la inadmisión de la querella presentada en relación con diversos acuerdos del Consejo General del Poder Judicial sobre nombramientos judiciales discrecionales (causa especial núm. 20433-2018),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amparo núm. 3251-2019 se impugna la decisión judicial de inadmisión de la acción penal entablada por la asociación demandante contra los vocales que lo integran, en relación con diversos acuerdos del Consejo General del Poder Judicial sobre nombramientos judiciales discrecionales.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6 de octubre de 2019, el magistrado don Cándido Conde-Pumpido Tourón comunicó a los efectos oportunos que se abstenía de intervenir en el antes indicado recurso de amparo, de conformidad con el art. 80 de la Ley Orgánica del Tribunal Constitucional, por concurrir la causa de abstención prevista en el artículo 219.15 de la Ley Orgánica del Poder Judicial.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Cándido Conde-Pumpido Tourón magistrado de esta Sección Primera del Tribunal Constitucional, la Sección, en virtud de lo previsto en el art. 219.15 de la Ley Orgánica del Poder Judicial, supletoria de la Ley Orgánica del Tribunal Constitucional (art. 80), estima justificada la causa de abstención formulada.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Cándido Conde-Pumpido Tourón en el recurso de amparo núm. 3251-2019,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octubre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