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1171-2019, promovido por Seditex Global, S.L.U., y Seditex Valladolid, S.L., promovido en auto de 14 de enero de 2019, dictado por el Juzgado de lo Social num. 2 de León,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registrado en este Tribunal el 25 de febrero de 2019, las entidades Seditex Global, S.L.U., y Seditex Valladolid, S.L., representadas por la procuradora de los tribunales doña Maria Esperanza Azpeitia Calvin, con asistencia letrada de don Carlos González-Cascos Jiménez, interpusieron recurso de amparo contra el auto de 14 de enero de 2019, dictado por el Juzgado de lo Social núm. 2 de León, por el que fue desestimada la solicitud de nulidad de actuaciones que habían dirigido contra todas las practicadas en el procedimiento núm. 872-2017, sobre impugnación de despido objetivo individual, en el que el emplazamiento inicial y el resto de comunicaciones procesales se realizaron a través de su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resolver la pretensión planteada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el núm. 872-2017, previo acto de conciliación intentado sin avenencia, se tramitó ante el Juzgado de lo Social núm. 2 de León, un procedimiento por despido objetivo individual en virtud de la demanda presentada por una trabajadora contra las entidades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admitida a trámite, las entidades Seditex Global, S.L.U., y Seditex Valladolid, S.L., fueron emplazadas electrónicamente en su dirección electrónica habilitada, no comparecieron, y el proceso continuó sin su participación, hasta finalizar mediante sentencia estimatoria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instancias de la trabajadora, y con fundamento en la sentencia estimatoria, se incoó por el mismo juzgado el procedimiento de ejecución de títulos judiciales núm. 149-2018, en cuyo transcurso se procedió al embargo de diversas cuentas de las empresas demandadas por la cuantía reclamada, intereses y costas, por un total de 10.897,14 €, cantidad que, según afirman las demandantes, ha sido entregada a la actora el pasado 15 de mayo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demandantes de amparo manifiestan haber sabido de la existencia del proceso de ejecución, y del previo de despido del que trae causa, al conocer el embargo de sus cuentas corrientes. Afirman que, tras conocerlo, se personaron en la causa seguida ante el Juzgado de lo Social núm. 2 de León mediante escrito de fecha 16 de noviembre de 2018, y promovieron incidente de nulidad de actuaciones en el proceso por despido núm. 872-2017.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solicitud de nulidad planteada en el procedimiento por despido dio lugar a una pieza separada. Fue inadmitida por auto de 14 de enero de 2019, tras entender el juzgador que no se había producido la indefensión denunciada, tanto porque la sentencia estimatoria había sido notificada a las demandadas, como porque la solicitud de nulidad de actuaciones carecía de soporte fáctico al aparecer electrónicamente documentado que sí habían recibido las notificaciones cuyo desconocimiento alegaron. En todo caso, se concluía, el emplazamiento y demás actuaciones procesales de comunicación se habían desarrollado conforme prevé el art. 162 de la Ley de enjuiciamiento civil (LEC) que, siendo electrónica la comunicación, determina los efectos de esta cuando el destinatario no ha accedido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cuya lesión se denuncia en la demanda de amparo es el reconocido en el art. 24.1CE, concretamente en cuanto establece la interdicción de la indefensión exigiendo un conocimiento efectivo de la existencia del proceso a fin de que, en él, pueda el demandado ejercer una defensa eficaz de sus intereses. En el suplico se solicita la declaración de la vulneración del derecho fundamental alegado, así como la nulidad del auto de 14 de enero de 2019 recurrido y de todas las actuaciones procesales practicadas en dicho procedimiento antes de su emplazamiento, con retroacción a dicho momento a fin de que conozcan la demanda y puedan intervenir y defenderse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se solicita en la demanda de amparo la suspensión cautelar de “todas las ejecuciones” que, ante dicho juzgado, deriven del citado procedimiento núm. 872-2017.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2019, la Sección Primera de este Tribunal acordó admitir a trámite el recurso de amparo y dirigir comunicación al Juzgado de lo Social núm. 2 de León, a fin de que, en el plazo de diez días, remitiera certificación o fotocopia adverada de las actuaciones correspondientes a los procedimientos judiciales precedentes, y emplazara a quienes hubieran sido parte en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demandante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fecha 20 de septiembre de 2019, las demandantes formularon sus alegaciones reiterando su petición de suspensión del proceso de ejecución de títulos judiciales, a lo que se añade la petición de que se ordene cautelarmente a la trabajadora la devolución de las cantidades embargadas en el proceso judicial previo que le fueron entregadas (10.897,14 €), ofreciendo aval para garantizar su devolución. Fundamenta su pretensión cautelar en la cuantía de dicha cantidad, cuya entrega a la actora en el proceso judicial previo, según dice, podría ocasionarle un perjuicio irreparable para el caso de ser estimado el recurso de amparo y de que aquella deviniera sobrevenidamente insolvente. Se alegan también las dificultades materiales de gestión económica que el embargo produce sobre el normal funcionamiento de las empresas y la pérdida de confianza que el propio embargo puede ocasionar en clientes y proveedores.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representante del ministerio fiscal presentó su escrito de alegaciones el 2 de octubre de 2019. Tras recordar la doctrina constitucional en materia de suspensión de los efectos del acto o sentencia impugnados a través del correspondiente recurso de amparo, en especial en lo que se refiere a los alegados perjuicios de carácter patrimonial o económico (AATC 81/2012, de 7 de mayo; 9/2018, de 5 de febrero, y 68/2019, de 1 de junio), destaca que el perjuicio alegado es simplemente económico y susceptible de ser reparado en la hipótesis de que la demanda de amparo fuera estimada. En caso de que el Tribunal accediera a la suspensión solicitada, entiende procedente que debe quedar supeditada a la previa prestación de una fianza que permita asegurar los daños y perjuicios que pueda causar a la trabajadora que fue demandante en el proceso judicial previo.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las pretensiones cautelares planteadas por las demandantes de amparo respecto del procedimiento de ejecución de Sentencia núm. 149/2018, seguido ante el Juzgado de lo social núm. 2 de León. Consideran las demandantes que su continuación les causaría un perjuicio económico difícilmente reparable si fuera finalmente llevada a efecto la ejecución, que fue despachada por la cantidad de 10.987,14 € que, una vez embargada, ha sido entregada a la trabajadora despedida. Cabe destacar desde ahora que, aunque la lesión aducida se habría producido en el proceso de despido, la suspensión que se pretende se refiere al proceso de ejecución de la resolución estimatoria que puso fin a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Complementaria o subsidiariamente, a tenor de lo establecido en el apartado tercero del mismo precepto, este Tribunal puede adoptar “cualesquiera medidas cautelares y resoluciones provisionales previstas en el ordenamiento, que, por su naturaleza, puedan aplicarse en el proceso de amparo y tiendan a evitar que el recurso pierda su finalidad”, por tanto, no necesariamente las mismas han de tener por objeto el proceso en el que se haya producido la vulneración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hemos entendido por perjuicio irreparable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(por todos,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particular,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que, por más que puedan producir efectos desfavorables a quien demanda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sólo si el recurrente en amparo justificase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procedería acordar la suspensión interesada. Por ello, como se recuerda, por ejemplo, en el ATC 81/2012, de 7 de mayo, FJ 2, al que se refiere el ministerio fiscal, se ha otorgado la suspensión en supuestos muy concretos en los que la ejecución de las resoluciones recurridas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este sea irrecuperable (por todos, AATC 565/1986, 52/1989, 222/1992, 183/1996, 5/1997, 52/1997, 287/1997, 99/1998 y 161/1999), así como de demolición de viviendas (ATC 225/1999, de 27 de septiembre)”.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e incluso en supuestos de privación temporal del uso de la vivienda de la que es propietario el recurrente y que constituye su residencia habitual (en ese sentido, ATC 9/2018, de 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al caso aquí planteado de la doctrina reseñada permite concluir, de acuerdo con el ministerio fiscal, que procede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las recurrentes solicitan la suspensión del procedimiento de ejecución de resoluciones judiciales en el que se les reclaman las cantidades fijadas como debidas en el previo proceso de despido. Como hemos anticipado, la vulneración del derecho fundamental aducido se habría producido en aquel proceso previo al que habrían sido convocadas de forma indebida a través de su dirección electrónica habilitada. Tal disociación no impide en sí misma el análisis de la suspensión cautelar pretendida, en cuanto la ejecución dineraria tiene como título la sentencia que puso fin al proceso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para ser atendida su pretensión, el perjuicio económico alegado ha de ser actual y su irreparabilidad acreditada. Y aunque cabe afirmar que el perjuicio aducido es real, por cuanto la cantidad a cuyo pago fueron condenadas las demandantes de amparo ha sido entregada a la trabajadora despedida, las dificultades de reparación alegadas ni han sido acreditadas ni pueden compartirse, dada su naturaleza meramente económica. Tampoco la cuantía de las cantidades ya embargadas pone de manifiesto en sí misma la irreparabilidad de los perjuicios económicos que le pudiera causar la ejecución reseñada. Las demandantes se refieren a un supuesto hipotético que se daría en el caso de que la trabajadora deviniera insolvente; pero esta circunstancia en modo alguno ha sido tampoco indiciariamente acreditada con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procede acceder a la pretensión cautelar interesada, ni en relación con el embargo dinerario acordado, ni con la continuación del proceso de ejecución, pues no se acredita la existencia de daños irreversibles o de muy difícil reparación que impidan la efectividad de la restauración del derecho fundamental vulnerado en caso de un eventual otorgamiento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del procedimiento de ejecución de resoluciones judiciales núm. 149-2018, seguido ante el Juzgado de lo Social núm. 2 de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