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28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2537-2019 promovido por la entidad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abril de 2019, tuvo entrada en el registro general de este Tribunal Constitucional un escrito de la procuradora doña Blanca Berriatua Horta, en representación de la entidad Penrei Inversiones, S.L., por el que interpuso recurso de amparo contra el auto de 21 de septiembre de 2018 del Juzgado de Primera Instancia e Instrucción núm. 5 de Lorca, que inadmitió por extemporánea la demanda de oposición a la ejecución hipotecaria promovida por la sociedad recurrente en amparo, y contra el auto del mismo juzgado, de 27 de febrero de 2019, que desestimó el recurso de reposición sucesivamente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21 de septiembre de 2018, el Juzgado de Primera Instancia e Instrucción núm. 5 de Lorca dictó un auto en el procedimiento de ejecución hipotecaria núm. 362-2018 por el que acordó: “Inadmitir a trámite la oposición formulada por la parte ejecutada Penrei Inversiones, S.L., Euroinversiones Inmobiliarias Costa Sur,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establece en el artículo 134 de la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Establece el artículo 695 LEC, que la parte ejecutada pueda oponerse al despacho de la ejecución en los términos previstos en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27 de febrero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 2 a) de la Ley 39/2015, de procedimiento administrativo común de las administraciones públicas, y art. 273. 3 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13 de junio de 2018 no accediendo al contenido hasta el día 25 de julio de 2018 respecto a Penrei Inversiones, S.L., y el día 26 de julio de 2018 a Euroinversiones Inmobiliarias Costa Sur, S.L. (fuera de los tres días que establece la normativa procesal), presentando los escritos de oposición a la ejecución en fecha 31 de julio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no ser notificada personalmente la demanda de ejecución hipotecaria, otorgándose efecto a la remisión de un correo electrónico por un servicio de notificaciones electrónicas que carece de los requisitos esenciales para considerarse un acto de notificación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se afirma que cuando es el primer emplazamiento, y por tanto todavía aquella “no ha tenido ninguna relación con el juzgado correspondiente en este especial y concreto procedimiento”, ha de practicarse el acto mediante cédula de emplazamiento o citación con entrega en papel de la documentación correspondiente, conforme establece el art. 273 LEC, en relación con los arts. 135, 152, 162 y 155 de la misma norma. El último precepto citado,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el recurso, por lo demás, que incluso la notificación realizada careció de las formalidades necesarias en las comunicaciones electrónicas. Sobre el auto del 27 de febrero de 2019, que desestimó la reposición, se aduce que, con independencia de que las personas jurídicas hayan de relacionarse con la administración en general por medios electrónicos, en ningún precepto de la Ley de enjuiciamiento civil se dice que al proceso civil se le apliquen normas del proceso administrativo, pues en el ámbito procesal civil existen normas propias, que resultaron incumplidas.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 todo ello, se solicita de este Tribunal Constitucional que, con estimación del amparo, acuerde la nulidad de ambas resoluciones judiciales y ordene reponer las actuaciones al momento previo al dictado de la primera de ellas, a fin de que el juzgado a quo admita a trámite la demanda de oposición al despacho de ejecución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se solicitó “la suspensión de la continuación del procedimiento de ejecución hipotecaria 362-2018 seguido ante el Juzgado de Primera Instancia e Instrucción núm. 5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16 de septiembre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toda vez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e Instrucción núm. 5 de Lorca a fin de que, en plazo que no exceda de diez días, remita certificación o fotocopia adverada de las actuaciones correspondientes a la ejecución hipotecaria núm. 362-2018; debiendo emplazar,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testimonio de los particulares necesarios, fórmese pieza separada de suspensión en la que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16 de setiembre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25 de septiembre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o en su caso fuera adjudicada a la propia demandante del procedimiento de ejecución hipotecaria,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de persistir estas, “la desposesión del bien ejecutado, conllevaría a situaciones irreversibles, con un inevitable perjuicio” para la sociedad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27 de septiembre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la suspensión solicitada comportaría la paralización del procedimiento ejecutivo que, por su propia naturaleza, goza de las características de celeridad y sumariedad, siendo mucho más eficaz en su criterio, para conseguir el efecto protector deseado,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quede especialmente protegido por su buena fe en la adquisición. Cita en apoyo de su petición el art. 56.3 LOTC, que permite al Tribunal adoptar toda medida que evite que el recurso de amparo pueda perder su finalidad, así como el ATC 95/2015, de 25 de mayo, FJ 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362-2018,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362-2018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