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5808-2018, promovido por Euroinversiones Inmobiliarias Costa Sur, S.L., en procedimiento de ejecución hipotecaria núm. 108-2018,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noviembre de 2018, la entidad Euroinversiones Inmobiliarias Costa Sur, S.L., representada por la procuradora de los tribunales doña Blanca Berriatua Horta y bajo la dirección del letrado don Marcelino Gilabert Costa, interpuso recurso de amparo contra los autos dictados por el Juzgado de Primera Instancia e Instrucción núm. 3 de Lorca en el procedimiento de ejecución hipotecaria núm. 108-2018 en fechas 3 de julio y 26 de septiembre de 2018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108-2018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abril de 2018 se acordó despachar ejecución frente las sociedades demandadas. El citado auto y el decreto de la misma fecha fueron comunicados a las citadas entidades a través de la sede judicial electrónica el día 26 de abril de 2018. El mismo día, el Servicio de Notificaciones Electrónicas de la Fábrica Nacional de Moneda y Timbre remitió a la demandante de amparo, a través de la dirección electrónica habilitada, una notificación del siguiente tenor: “[l]a Notificación estará disponible en su dirección electrónica habilitada única desde el 26 de abril de 2018 hasta el 11 de junio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demandante presentó escrito de oposición a la ejecución despachada, en fecha 25 de junio de 2018. Por auto de 3 de julio de 2018 se acordó su inadmisión por presentación extemporánea, al considerarse que había transcurrido el plazo de diez días previsto en el art. 695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26 de abril de 2018 sino el 11 de junio de 2018 y que la comunicación remitida a través de la dirección electrónica habilitada (DEH) no puede entenderse más que como un aviso de puesta a disposición o descarga de su contenido durante un plazo determinado (en el caso desde el 26 de abril al 11 de junio de 2018). De ahí que al haber accedido a dicha comunicación el día 11 de junio de 2018, es en ese día cuando debe entenderse efectuada la notificación. Y entenderlo de otro modo, además de infringir los arts. 135, 152, 160, 162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fue desestimado por auto de 26 de septiembre de 2018. Según consta en la indicada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a) de la Ley 39/2015 y 273.3 LEC. Según se afirma en la indicada resolución, “es cierto que la notificación por medios electrónicos efectivamente se realiza cuando el destinatario accede a su contenido. Ahora bien, hierran en el plazo en el que puede acceder a su contenido a efectos de la práctica de la notificación, el cual es de diez días naturales desde el puesta a su disposición y ello por imperativo del artículo 43.2 de la citada Ley de procedimiento administrativo común de las administraciones públicas (Ley 39/2015)”…“En el presente caso, consta que la notificación se puso a disposición de las recurrentes en fecha 26 de abril de 2018 no accediendo al contenido hasta el 11 de junio de 2018 (fuera de los diez días naturales), presentando los escritos de oposición a la ejecución en fecha 22 de junio de 2018, claramente fuera del plazo legalmente establecido en el art. 556.1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y accedió al contenido de la notificación dentro del plazo establecido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afirma que el órgano judicial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octubre de 2019, la Sección Tercera de este Tribunal acordó admitir a trámite el recurso de amparo y dirigir comunicación al el Juzgado de Primera Instancia e Instrucción núm. 3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8 de noviembre de 2019, la parte demandante formuló sus alegaciones, en el cual reitera lo interesado en el otrosí de su demanda, con sustento en el ATC 287/2013, de 16 de diciembre, cuyo contenido parcialmente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el 12 de noviembre del 2019. En síntesis, interesa que se acuerde la anotación preventiva de la demanda en el registro de la propiedad. Tras compendiar la doctrina constitucional relativa a la suspensión prevista en el art. 56 LOTC, sostiene que, si bien la medida a que alude no ha sido solicitada en el recurso de amparo, en el presente caso tampoco la petición de suspensión se fundamenta de manera suficiente por la parte recurrente. Además, considera más eficaz la anotación preventiva de la demanda en el registro de la propiedad, medida mediante la cual se daría publicidad a terceros de la pendencia del recurso y se evitaría que un hipotético tercer adquirente del inmueble hipotecado quede especialmente protegido por su buena fe en la adquisición.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108-2018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pues la medida idónea la anotación preventiva de la demanda en el registro de la propiedad.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el procedimiento se encuentra en la fase inicial una vez rechazada la oposición a la ejecución y que el inmueble sobre el que se sigue tal ejecución está constituido por una vivienda cuya situación posesoria no consta.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 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108-2018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