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5809-2018, promovido por Penrei Inversiones, S.L., en procedimiento de ejecución hipotecaria núm. 108-2018,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 de noviembre de 2018, la entidad Penrei Inversiones, S.L., representada por la procuradora de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108-2018 en fechas 27 de junio y 26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108-2018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abril de 2018 se acordó despachar ejecución frente a las sociedades demandadas. El citado auto y el decreto de la misma fecha fueron comunicados a las citadas entidades a través de la sede judicial electrónica el día 26 de abril de 2018. El mismo día, el servicio de notificaciones electrónicas de la Fábrica Nacional de Moneda y Timbre remitió a la demandante de amparo, a través de la dirección electrónica habilitada, una notificación del siguiente tenor: “[l]a Notificación estará disponible en su Dirección Electrónica Habilitada única desde el 26 de abril de 2018 hasta el 11 de junio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demandante presentó escrito de oposición a la ejecución despachada, en fecha 22 de junio de 2018. Por auto de 27 de junio de 2018 se acordó su inadmisión por presentación extemporánea, al considerarse que había transcurrido el plazo de diez días previsto en el art. 695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26 de abril de 2018, sino el 11 de junio de 2018, y que la comunicación remitida a través de la dirección electrónica habilitada no puede entenderse más que como un aviso de puesta a disposición o descarga de su contenido durante un plazo determinado (en el caso desde el 26 de abril al 11 de junio de 2018). De ahí que, al haber accedido a dicha comunicación el día 11 de junio de 2018, es en ese día cuando debe entenderse efectuada la notificación. Y entenderlo de otro modo, además de infringir los arts. 135, 152, 160, 162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fue desestimado por auto de 26 de septiembre de 2018. Según consta en la indicada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a) de la Ley 39/2015 y 273.3 LEC. Según se afirma en la indicada resolución, “es cierto que la notificación por medios electrónicos efectivamente se realiza cuando el destinatario accede a su contenido. Ahora bien, hierran en el plazo en el que puede acceder a su contenido a efectos de la práctica de la notificación, el cual es de diez días naturales desde el puesta a su disposición y ello por imperativo del artículo 43.2 de la citada Ley LPACAP (ley 39/2015) […] En el presente caso, consta que la notificación se puso a disposición de las recurrentes en fecha 26 de abril de 2018 no accediendo al contenido hasta el 11 de junio de 2018 (fuera de los diez días naturales), presentando los escritos de oposición a la ejecución en fecha 22 de junio de 2018, claramente fuera del plazo legalmente establecido en el art. 556.1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denuncia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y accedió al contenido de la notificación dentro del plazo establecido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afirma que el órgano judicial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octubre de 2019, la Sección Tercera de este Tribunal acordó admitir a trámite el recurso de amparo y dirigir comunicación al Juzgado de Primera Instancia e Instrucción núm. 3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8 de noviembre de 2019, la parte demandante formuló sus alegaciones, en el cual reitera lo interesado en el otrosí de su demanda, con sustento en el ATC 287/2013, de 16 de diciembre, cuyo contenido parcialmente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el 12 de noviembre del 2019. En síntesis, interesa que se acuerde la anotación preventiva de la demanda en el registro de la propiedad. Tras compendiar la doctrina constitucional relativa a la suspensión prevista en el art. 56 LOTC, sostiene que la solicitud de la medida de suspensión solo alude a la pérdida de finalidad del recurso, para el caso de que llegara a celebrarse la subasta, pero no ofrece ninguna razón que justifique esa pérdida de finalidad a que alude. Además, considera más eficaz la anotación preventiva de la demanda en el registro de la propiedad, medida mediante la cual se daría publicidad a terceros de la pendencia del recurso y se evitaría que un hipotético tercer adquirente del inmueble hipotecado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108-2018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pues la medida idónea es la anotación preventiva de la demanda en el registro de la propiedad.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el procedimiento se encuentra en la fase inicial una vez rechazada la oposición a la ejecución y que el inmueble sobre el que se sigue tal ejecución está constituido por una vivienda cuya situación posesoria no consta.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108-2018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