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3507-2019 promovido por la entidad Grupo Inversiones Nicolás Serrano,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junio de 2019, la entidad Grupo Inversiones Nicolás Serrano, S.L., representada por la procuradora de los tribunales doña Águeda María Meseguer Guillén y bajo la dirección de la letrada doña Carmen García Hernández, interpuso recurso de amparo contra el auto de 14 de mayo de 2019 del Juzgado de Primera Instancia núm. 4 de Murcia, dictado en el procedimiento de ejecución hipotecaria núm. 48-2017, por el que se desestimó el recurso de revisión y subsidiario de nulidad de actuaciones interpuesto contra el decreto de 19 de noviembre de 2018 que adjudicaba la finca de la recurrente núm. 41.482 del Registro de la Propiedad núm.1 de Murcia a favor del Banco de Sabadell,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Ante el Juzgado de Primera Instancia núm. 4 de Murcia se tramita, a instancias de Banco Sabadell, S.A., frente a la sociedad recurrente en amparo y otra, un proceso de ejecución de títulos no judiciales (escritura pública de préstamo con garantía hipotecaria otorgada el 22 de marzo de 2007, novada el 10 de junio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entidad ejecutante interesaba en su demanda de ejecución del bien hipotecado que, por no haber realizado el requerimiento de pago con carácter previo, este fuera acordado y practicado en el domicilio designado en la escritura pública, a saber: Avda. Alto Atalayas núm. 254 de Cabezo de Torres.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los correspondientes trámites, el auto de 15 de marzo de 2017 ordenó la ejecución del título de escritura de préstamo hipotecario, acordando requerir a las ejecutadas al pago. El requerimiento y notificación del proceso fueron practicados a través de la dirección electrónica habilitada —sede judicial electrónica— en mayo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por decreto de 19 de noviembre de 2018, fue adjudicada la finca objeto de ejecución a favor de la ejecutante por el 50 por 100 del valor de tasación.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sociedad recurrente en amparo, en enero de 2019, interpuso recurso de revisión contra el decreto de adjudicación, denunciando la infracción del art. 16.2 del Real Decreto 1065/2015, de 27 de noviembre, y del art. 155.1 de la Ley de enjuiciamiento civil (LEC) por ausencia de un primer emplazamiento personal en el domicilio social, ya que dicha regulación normativa, a su juicio, obligaba al órgano judicial a efectuarlo de ese modo y no por medios electrónicos, razón por la cual se le habría causado indefensión al desconocer el proceso de ejecución en su debido tiempo.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recurso de revisión fue desestimado por auto de 14 de mayo de 2019. La resolución judicial, en su fundamento jurídico 3, disponía: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“Partiendo de esta doctrina y examinadas las actuaciones ha de indicarse que no se observa causa de nulidad alguna en las actuaciones, ni puede fundarse la misma en el hecho de que la recurrente no tuviera conocimiento del emplazamiento realizado en fecha 24 de mayo de 2017 y ello porque del examen de las actuaciones resulta acreditado, que la mercantil ejecutada fue correctamente emplazada mediante sede electrónica, habiendo sido enviada cédula de requerimiento, auto, auto ejecución hipotecaria, decreto despachando ejecución, demanda y todos los documentos acompañados a la misma en fecha 24 de mayo de 2017, siendo recepcionada en destino el 26 de mayo de 2017 y retirada por la mercantil Grupo Inversiones Nicolás Serrano, S.L. en fecha 30 de mayo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consiguiente, habiendo quedado demostrado que las resoluciones en virtud de las cuales fue emplazada por primera vez la mercantil ejecutada fueron debidamente notificadas a través de la sede judicial electrónica, de conformidad con lo prevenido en los arts. 152.2, 161.1, 273.3 LEC, arts. 4 y 11 del Real Decreto 1065/15 de 27 de noviembre, sobre comunicaciones electrónicas en la administración de justicia en el ámbito territorial del Ministerio de Justicia y por el que se regula el sistema Lexnet y articulo 230 de la Ley Orgánica del Poder Judicial, no resulta procedente estimar el recurso de revisión ni declarar la nulidad de actuaciones con carácter subsidiario pretendida, en cuanto que no se han producido infracciones de normas esenciales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contenía la indicación de que contra el mismo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del derecho a la tutela judicial efectiva sin indefensión (art. 24.1 CE) en su vertiente de acceso al proceso, denunciando el modo de efectuar la primera citación o emplazamiento del demandado en el proceso de ejecución, todo ello en relación con lo dispuesto en los arts. 16.2, 16.3 y 21.2 a) del Real Decreto 1065/2015, de 27 de noviembre, el art. 155.1 LEC y en la doctrina que recoge la STC 47/2019, de 8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“evitando la entrega de la posesión del inmueble”, pues esta podría hacer perder al recurso de amparo su finalidad, causando perjuicios de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octubre de 2019, la Sección Cuarta de este Tribunal acordó admitir a trámite el recurso de amparo.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5 de noviembre de 2019, la parte demandante formuló sus alegaciones, señalando que la ejecución se encuentra muy avanzada y reiterando lo dicho en el otrosí de su demanda sobre la necesidad de evitar la entrega de la posesión del inmueble al banco ejecutante, para evitar daños y perjuicios de imposible o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registrado el 8 de noviembre de 2019, se opuso a la pretendida suspensión del procedimiento de ejecución hipotecaria, ya que la petición no aparece fundamentada por la recurrente, que se limita, a su parecer, a formular la petición sin explicitar ninguna razón, salvo la mera pérdida de la finalidad del recurso si aquel procedimiento culminase. Interesa alternativamente, por ello, que se acuerde la anotación preventiva de la demanda de amparo en el registro de la propiedad, pues de ese modo se asegura el fiel reflejo de la realidad, evitando situaciones cuya reversibilidad deviniera poco menos que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suspensión cautelar instada por la parte recurrente en amparo y dirigida frente al procedimiento de ejecución hipotecaria núm. 48-2017, seguido en el Juzgado de Primera Instancia núm. 4 de Murcia.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(por todos, ATC 130/2019, de 28 de octubre, y los en él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solicitada del procedimiento de ejecución hipotecaria y que, por el contrario, constituye una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la parte recurrente se limita a poner de manifiesto, genéricamente, que la eventual adjudicación a terceros del bien inmueble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si se produjera un desplazamiento posesorio, provoque por sí sola un perjuicio determinante de la perdida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88/2018, de 17 de septiembre, 2/2019, de 9 de enero, o 130/2019, de 28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48-2017, seguido en el Juzgado de Primera Instancia núm. 4 de Murcia.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