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520-2019, promovido por doña María Casado Nieto, representada por la procuradora de los Tribunales doña María Aránzazu López Orejas, asistida por el letrado don Ignacio Rodríguez de la Riva, contra la sentencia de la Sección núm. 23 de la Audiencia Provincial de Madrid de 23 de octubre de 2018, que estimó el recurso de apelación interpuesto contra la sentencia del Juzgado de lo Penal núm. 3 de Madrid de 16 de julio de 2018, así como contra el auto aclaratorio y de inadmisión del incidente de nulidad de actuaciones del mismo órgano judicial de 11 de enero de 2019.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enero de 2019, doña María Casado Nieto, representada por la procuradora de los tribunales doña María Aránzazu López Orejas, asistida por el letrado don Ignacio Rodríguez de la Riva, interpuso recurso de amparo, por vulneración de los arts. 24.1 y 24.2 CE, contra la sentencia de 23 de octubre de 2018, núm. 737-2018, de la Sección núm. 23 de la Audiencia Provincial de Madrid, que revocó la sentencia absolutoria dictada en primera instancia por el Juzgado de lo Penal núm. 3 de Madrid en el procedimiento abreviado núm. 215-2015, así como contra el auto aclaratorio y de inadmisión del incidente de nulidad de actuaciones del mismo órgano judicial de 11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del Juzgado de lo Penal núm. 3 de Madrid de 15 de diciembre de 2017 se procedió a absolver a doña María Casado Nieto del delito de prevaricación del que había sido acusada. Recurrida dicha resolución en apelación por la acusación popular, por sentencia de la Audiencia Provincial de 26 de junio de 2018 se procedió a estimar el recurso y a anular la sentencia apelada, retrotrayendo las actuaciones al momento de su dictado, a fin de que se procediera a otorgar nueva redacción a los hechos probados sin incurrir en predeterminación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del Juzgado de lo Penal núm. 3 de Madrid de 16 de julio de 2018 se procedió a dictar nueva sentencia por la que se absolvía a doña María Casado Nieto del delito de prevaricación del que había sido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establecían los siguientes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acusada María Casado Nieto, con DNI 380075T, nacida en Madrid el 13 de noviembre de 1958, sin antecedentes penales, en fecha 21 de julio de 2010 firmó, en su condición de Alcaldesa del Excmo. Ayuntamiento de Alpedrete (Madrid), el Decreto 355/2010, en virtud del cual se acordaba la contratación como Oficiales de Primera de Roberto Fernández Maxi y Fernando Castellanos Encinas, teniendo conocimiento de los siguientes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-Informe de fecha 16 de julio de 2010, emitido por la Secretaria del Ayuntamiento, María Nieves Elvira Palacios, e informe de fecha 18 de julio de 2010, elaborado por la Interventora Municipal, Pilar López Morales, en los cuales se ponía de manifiesto la necesidad de acudir a la oferta de empleo público mediante concurso, oposición o concurso-oposición para realizar las contrataciones de los dos trabajadores que se precisaban en el Departamento de Obras del citado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-Informe de fecha 19 de julio de 2010, emitido por María Constanza Rodríguez Gómez, Abogada externa contratada por el Ayuntamiento, en que se informa favorablemente la contratación por razones de urgencia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razonaba en la fundamentación jurídica que la prueba practicada no permitía considerar acreditado que la acusada tuviera pleno conocimiento de estar vulnerando claramente los principios de actuación básica de la administración, ni de infringir los principios constitucionales de imparcialidad, igualdad de oportunidades, transparencia, mérito, capacidad y legalidad, que conformaban la actuación de la administración, reemplazando el derecho aplicable por su voluntad, considerando que no concurría el elemento subjetivo del delito de prevaricación dado que la prueba practicada no permitía considerar acreditado, de forma inequívoca, que la deliberada intención de la acusada fuera incumplir la ley, dictando a sabiendas una resolución injusta, si bien se consideraba probada la concurrencia de un dolo eventual por considerar acreditado que la acusada sopesó la posibilidad de que el decreto que firmó podría ser contrario a las normas y principios que debían regir en el ámbito público, si bien había de tenerse en cuenta que el elemento subjetivo del tipo doloso no admitía la modalidad del dolo eventual para componer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apelación por la acusación popular, por sentencia de la Audiencia Provincial de 23 de octubre de 2018 se procedió a estimar el recurso de apelación y condenar a doña María Casado Nieto, como autora de un delito de prevaricación administrativa del art. 404 del Código penal, sin la concurrencia de circunstancias modificativas de la responsabilidad criminal, a la pena de siete años de inhabilitación para el ejercicio de empleo o cargo público, todo ello tras razonar que el examen de la Sala se reducía a la tipicidad de la conducta enjuiciada y a ponderar si los hechos declarados probados tenían encaje en el delito de prevaricación del artículo 404 del Código penal, respetando íntegramente el relato de hechos probados de la sentencia de instancia, de tal modo que no resultaba imprescindible la audiencia de la persona que fue absuelta ante una eventual condena por parte del órgano de apelación. En tal sentido, se afirmaba en la sentencia que pese a tener cumplido conocimiento la acusada de que la contratación de personal requería la apertura de un procedimiento público, llevó adelante su decisión de contratar directamente mediante decreto como oficiales de primera a dos personas, prescindiendo por completo del cauce legal que sabía que debía seguirse, ya que ante la existencia de los dos informes de los órganos asesores del ayuntamiento desfavorables a la contratación por no ajustarse al marco legal, no podía justificarse que la alcaldesa decidiera solicitar un tercer informe sobre el mismo objeto a una asesora externa para justificar la existencia de dudas en torno a la opinión coincidente de los dos primeros, no siendo tampoco admisible ampararse en razones de urgencia para cubrir dos plazas de trabajadores municipales en atención a que el resto del personal que integraba ese servicio tenía que disfrutar sus vacaciones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Interesada aclaración de sentencia, así como la nulidad de las actuaciones, por auto de la Audiencia provincial de 11 de enero de 2019 se procedió a inadmitir el incidente de nulidad de actuaciones tras razonar que no se había realizado una nueva valoración de la prueba, sino que, partiendo de la intangibilidad de los hechos probados, la Sala se había limitado a corregir la conclusión de tipicidad. Se añadía que en los hechos probados se decía que la acusada tenía conocimiento de los informes legales contrarios a los actos de contratación que autorizó por su decreto, dato que se había entendido suficiente para afirmar, sin adentrarse en motivaciones personales o de naturaleza íntima, que se estaba ante el delito de prevaricación por el que había sido condenada, y que al tratarse de una lectura exclusivamente centrada en la tipicidad de los hechos, se consideraba que no se había incurrido en la vulneración de derechos fundamentales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aclaración solicitada se procedió a completar el fallo de la sentencia de 23 de octubre de 2018 añadiendo que la inhabilitación que se decretaba debía extenderse, por el tiempo de la condena, a los cargos de naturaleza política obtenidos por elección ciudadana, no solo a nivel local, sino también autonómico, estatal o supranacional.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infracción del derecho a un proceso con las debidas garantías respecto del principio de inmediación y contradicción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se afirma que se ha vulnerado el derecho a un proceso con todas las garantías como consecuencia de haber examinado la Audiencia Provincial el elemento subjetivo del delito sin haber oído a la apelante y sin haber practicado prueba para oír a los testigos que declararon en instancia, procediendo a realizar una valoración encubierta de la prueba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la doctrina constitucional existente sobre la necesidad de respetar, en cuanto integran el contenido del derecho a un proceso con todas la garantías, los principios de publicidad, inmediación y contradicción en la valoración de las pruebas en la segunda instancia penal, afirma que junto al respeto a la garantía de inmediación en la valoración de las pruebas personales por el órgano ad quem, el Tribunal Constitucional introdujo también la exigencia de audiencia personal del acusado como garantía específica vinculada al derecho de defensa, citando a tal fin las SSTC 126/2012, 205/2013, 105/2016 y 172/2016.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argumenta que en el fundamento de derecho primero de la sentencia dictada por el juzgado de lo penal se negaba claramente la ausencia del dolo directo que reclamaba el delito de prevaricación administrativa por el que había acabado condenando la sala ad quem, encontrando la motivación de la ausencia de tal elemento subjetivo en la valoración de determinado acerbo probatorio del que la mayor parte era de carácter personal, como era el interrogatorio de la acusada y las 11 testificales practicadas. Por contra, la Audiencia Provincial ha llevado a cabo una encubierta valoración de la prueba personal sin oír a la acusada ni a los testigos, lo que ha producido la violación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recurrente que la vulneración del derecho a un proceso con todas las garantías ha determinado, igualmente, la del derecho a la presunción de inocencia en la medida en que la eliminación de las pruebas valoradas sin la debida inmediación ha dejado sin sustento el relato fáctico que soportaba la declaración de culpabilidad de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2019 se procedió a la admisión a trámite del recurso de amparo, apreciando que concurría en el mismo una especial trascendencia constitucional (art. 50.1 de la Ley Orgánica del Tribunal Constitucional: LOTC) porque el recurso podía dar ocasión al Tribunal para aclarar o cambiar su doctrina, como consecuencia de un proceso de reflexión interna [STC 155/2009, FJ 2 b)]. En aplicación de lo dispuesto en el art. 51 LOTC se acordó también dirigir atenta comunicación a la Sección Vigesima tercera de la Audiencia Provincial de Madrid a fin de que, en un plazo que no exceda de diez días, remita certificación o fotocopia adverada de las actuaciones correspondientes al recurso de apelación núm. 1528-2018. Asimismo, se acordó dirigir atenta comunicación al Juzgado de lo Penal núm. 3 de Madrid a fin de que, en un plazo que no exceda de diez días, remita certificación o fotocopia adverada de las actuaciones correspondientes al procedimiento ordinario núm. 215-2015 y para que emplazara a quienes hubieran sido parte en el referido procedimiento, excepto a la ahora recurrente en amparo, para que en un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julio de 2019, se acordó, al amparo del art. 52.1 LOTC, dar vista de las actuaciones recibidas a la parte recurrente y al Ministerio Fiscal, por plazo común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la demandante el traslado para alegaciones conferido por diligencia de ordenación de 24 de julio de 2019, se procedió a reseñar la doctrina contenida en las SSTC 73/2019 y 88/2019, relativa a la vulneración del derecho a un procedimiento con todas las garantías por el órgano judicial que conociendo en vía de recurso, condenaba a quien había sido absuelto en la instancia o empeorase su situación a partir de una nueva valoración de pruebas personales o de una reconsideración de los hechos probados, para establecer la culpabilidad sin celebración de audiencia pública en la que desarrollar la necesaria actividad probatoria con las garantías de publicidad, inmediación y contradicción que le eran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su parte, tras resumir lo alegado en la demanda de amparo y lo resuelto por el juzgado de lo penal y la Audiencia Provincial, concluía que lo que era objeto de discusión era la concurrencia del elemento subjetivo del tipo penal, que, dada la infracción penal de que se trataba, exigía la concurrencia de dolo directo, extremo que la Sala de apelación no cuestionaba y que no se había considerado concurrente por el magistrado de lo penal, por lo que el recurso no podía ser resuelto en rigurosos términos de calificación jurídica, pues, en todo caso, el órgano judicial no podía prescindir de otorgar a la demandante la posibilidad de ser oída por la Sala, todo lo cual había conllevado la vulneración del derecho a un proceso con todas las garantías y del derecho de defensa del art. 24.2 CE, y del mismo modo, al haberse dejado de examinar por la sentencia dictada en segunda instancia el testimonio exculpatorio de la acusada, se había vulnerado también su derecho a la presunción de inocencia interesando, en consecuencia, otorgar el amparo y declarar vulnerado los derechos al proceso con todas las garantías, a la defensa y a la presunción de inocencia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diciembre de 2019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Preceptos recurridos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sentencia de la Audiencia Provincial de 23 de octubre de 2018, núm. 737/2018, que revocó la sentencia absolutoria dictada en primera instancia el día 16 de julio de 2018 por el Juzgado de lo Penal núm. 3 de Madrid en el procedimiento abreviado núm. 215-2015 y condenó a la recurrente en amparo como autora de un delito de prevaricación administrativa. Igualmente se dirige el recurso contra el auto de 11 de enero de 2019, del mismo órgano judicial, que desestimó el sucesivo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que la sentencia de apelación citada infringió su derecho a un proceso con todas las garantías y el derecho a la presunción de inocencia (art. 24.2 CE) porque apreció la concurrencia del elemento subjetivo del delito por el que fue finalmente condenada tras haber sido absuelta en instancia, que no había sido considerado concurrente por el órgano a quo, y ello sin escuchar presencialmente a la acusada y sin atender a otras pruebas personales que fueron valoradas por el juzgador a quo, tratándose, como era, de una cuestión fáctica, y por lo tanto de imposible revisión en segunda instancia. Con ello se habrían lesionado tanto el primero de los derechos fundamentales alegados como, de forma derivada, el de presunción de inocencia, al carecer la condena de fundamento que sustente la apreciación de la concurrencia del dolo en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el Ministerio Fiscal la pretensión, solicitando la estimación del recurso, declarando vulnerado los derechos al proceso con todas las garantías, a la defensa y a la presunción de inocencia y la anulación de la sentencia de 23 de octubre de 2018, así como del auto de 11 de enero de 2019, dictados ambos por la Sección Vigésima tercera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por las partes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el fundamento anterior se infiere sin dificultad que la discrepancia de la parte recurrente reside en que la Sección Vigésima tercera  de la Audiencia Provincial de Madrid extendió indebidamente su ámbito de cognición a la revisión de los hechos, y no solo del derecho aplicado, respecto de la concurrencia del elemento subjetivo del delito por el que la recurrente resultó finalmente condenada. De este modo, a juicio de la demandante de amparo la Audiencia Provincial llevó a cabo una encubierta valoración de la prueba personal sin oír a la acusada ni a los testigos, para llegar a la conclusión sobre la concurrencia del dolo tras realizar una valoración alternativa del elemento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juzgador a quo estimó que el elemento subjetivo, a la vista de la prueba practicada consistente en la testifical de diversos testigos y la propia declaración de la ahora demandante, no concurría en el presente caso, al no permitir considerar acreditado, de forma inequívoca, que la intención de la acusada fuera incumplir la ley dictando a sabiendas una resolución injusta, considerando únicamente probada la concurrencia de dolo eventual, modalidad que no servía para componer el tipo penal del delito de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Vigésima tercera de la Audiencia Provincial de Madrid recurrida en amparo, estimó el recurso de apelación interpuesto por la acusación popular y condenó a la demandante, después de afirmar que el único examen que se proyectaba sobre la sentencia recurrida se basaba en el análisis de tipicidad. En la sentencia se respeta, íntegramente, el relato de hechos probados de la sentencia de instancia, pero no se comparte su pronunciamiento absolutorio. Considera, al respecto, que el elemento subjetivo del delito de prevaricación no había quedado acreditado, llegando a tal conclusión ante el conocimiento expreso por parte de la alcaldesa de los informes desfavorables a la contratación que constaban en las actuaciones y ante la valoración sobre las hipotéticas razones de urgencia que invocaba el decreto de la alcaldía, pues no podían razonablemente concebirse como tales, entendiendo que se había llevado a cabo un ejercicio de las competencias por decreto que se apartaba manifiestamente de la disciplina legal y que no encontraba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sentencia recurrida la conclusión era que todos y cada uno de los elementos definidos jurisprudencialmente como configuradores del delito de prevaricación administrativa concurrían en la contratación enjuiciada, tal como se expresaba en el relato de hechos probados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por el que se procedió a inadmitir el incidente de nulidad de actuaciones insistió en que no se había llevado a cabo ninguna valoración de la prueba, sino que, partiendo de los mismos e intangibles hechos probados, se había procedido a corregir la conclusión de tipicidad, sin entrar a examinar motivaciones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recogida en las recientes SSTC 88/2019, de 1 de julio, y 73/2019, de 20 de mayo, o en la anterior STC 59/2018, de 4 de junio, que vulnera los derechos a un proceso con todas las garantías y el derecho de defensa (art. 24.2 CE) que un órgano judicial, conociendo en vía de recurso, condene a quien ha sido absuelto en la instancia o empeore su situación a partir de una nueva valoración de pruebas personales o de una reconsideración de los hechos estimados probados para establecer su culpabilidad sin celebración de una audiencia pública en que se desarrolle la necesaria actividad probatoria, con las garantías de publicidad, inmediación y contradicción que le son propias; es decir, sin dar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Expresamente se afirmaba en la STC 59/2018, FJ 3, que “3 […] Las indicadas garantías del acusado en la segunda instancia fueron ampliadas a consecuencia de los diversos pronunciamientos del Tribunal Europeo de Derechos Humanos. Y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entre otras muchas, de las SSTEDH de 10 de marzo de 2009, asunto Igual Coll c. España, § 27; 21 de septiembre de 2010, asunto Marcos Barrios c. España, § 32; 16 de noviembre de 2010, asunto García Hernández c. España, § 25; 25 de octubre de 2011, asunto Almenara Álvarez c. España, § 39; 22 de noviembre de 2011, asunto Lacadena Calero c. España, § 38. A las que siguieron con posterioridad las SSTEDH de 20 de marzo de 2012, asunto Serrano Contreras c. España, § 31; de 27 de noviembre de 2012, asunto Vilanova Goterris y Llop García c. España, y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cuestión de fondo. Vulneración de los derechos a un proceso con todas las garantías y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reseñada, y a pesar de que por la Audiencia Provincial de Madrid se afirma que el examen de la sentencia recurrida se basaba en el análisis de la tipicidad, respetando íntegramente el relato de hechos probados, ello no implica que aquel órgano judicial pudiera prescindir de otorgar a la demandante de amparo la oportunidad de ser oída en la fase de recurso, habida cuenta de que había sido absuelta en la instancia y que el Tribunal de apelación era quien por primera vez la condenaba.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afirmación de la Audiencia Provincial de Madrid de que se respetó el relato de hechos probados fijados en la instancia y que se trataba solo de una cuestión estrictamente jurídica relativa al análisis de la tipicidad no se compadece con la dimensión de su intervención, donde se produjo una modificación inferencial del elemento subjetivo del delito, por más que no se modificasen explícitamente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ya en la STC 126/2012, de 18 de junio, FJ 4, establecimos que el enjuiciamiento sobre la concurrencia de los elementos subjetivos del delito forma parte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las cuales el órgano a quo llega a su conclusión sobre la inexistencia de dolo, u otro elemento subjetivo del tipo, que no precisará de la garantía de inmediación, sí deberá venir presidida por la previa audiencia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expresada la idea en otras palabras, las cuestiones fácticas exigen audiencia para la decisión sobre si concurre un elemento subjetivo y solo las cuestiones jurídicas, singularmente decidir la calificación de unos hechos una vez fijada su existencia, pueden abordarse en fase de recurso sin audiencia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como afirma la recurrente y el ministerio fiscal, la apreciación de la tipicidad de la conducta de la acusada y, en particular, el elemento subjetivo del dolo, no podía ser resuelto en rigurosos términos de calificación jurídica, requiriendo la audiencia de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Incidencia de las vulneraciones alegadas en 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Juzgado de lo Penal núm. 3 de Madrid llega a la conclusión, tras la prueba testifical practicada y la propia declaración de la acusada, que no concurría el elemento subjetivo del delito de prevaricación administrativa del art. 404 del Código penal al no considerar acreditado que la acusada tuviera pleno conocimiento de estar vulnerando claramente los principios de actuación básica de la administración y que su intención fuera incumplir la ley, dictando a sabiendas una resolución injusta, por lo que queda probado solamente la concurrencia de un dolo eventual, modalidad no admitida para cumplir los requisitos típicos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Vigésima tercera de la Audiencia Provincial de Madrid, de 23 de octubre de 2018, sin la audiencia personal referida, afirmó que, a la vista de los informes emitidos por la secretaria del ayuntamiento y de la interventora municipal, no tenía justificación que la alcaldesa solicitara un tercer informe a una asesora externa, y que en base al mismo dudara de la opinión de los dos primeros informes emitidos por los órganos asesores legalmente previstos, entendiendo, igualmente, que tampoco era admisible ampararse en razones de urgencia para cubrir dos plazas de trabajadores municipales como consecuencia de la necesidad de que el personal disfrutara de sus vacaciones, todo ello para concluir que no podía compartirse el pronunciamiento absolutorio que la sentencia de instancia contenía al interpretar que el elemento subjetivo del delito no había quedado acreditado, dado el conocimiento expreso por parte de la alcaldesa de los informes desfavorables a la contratación obrantes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se extendió también a evaluar la intención de la acusada, de manera que la cuestión no podía ser resuelta sin darle la posibilidad de ser oída personalmente, como tampoco sin atender a otras pruebas personales relevantes para alcanzar una convicción sobre tal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cuando la Sala de la Audiencia Provincial efectuó la inferencia de la intención o ánimo que tenía la recurrente de llevar a cabo la conducta de naturaleza antijurídica, alcanzando en este punto sus propias conclusiones, contrarias al juez que tuvo inmediación con la prueba, lo hizo sin ponderar la declaración de la acusada sobre ello y se introdujo, sin cumplir las garantías constitucionales en la revisión, en una realidad jurídico penal intrínsecamente vinculada con elementos subjetivos del delito, revocando la previa absolución sin cumplir la exigencia de la audiencia personal como garantía específica vinculada al artículo 24.2 CE, pese a que el núcleo de lo debatido afectaba con carácter general a la declaración de inocencia o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no se trataba de estrictas cuestiones jurídicas sino de un parámetro de índole anímica o interna consistente en el análisis de la voluntad de llevar a cabo la acción a sabiendas de su ilicitud, que era el elemento determinante de la culpabilidad o de la inocencia y siendo subjetivo ese elemento del delito a debate, conforme a la doctrina ya recogida, resultaba obligada la valoración directa de la versión de los demandantes, habida cuenta de que su objeto consiste en posibilitar que quien ha sido absuelto en primera instancia pueda exponer, ante el Tribunal llamado a revisar la decisión impugnada, su testimonio personal sobre su participación en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debe considerarse producida la vulneración de los derechos a un proceso con todas las garantías y a la defensa, proclamados por el art. 24.2 CE, en coherencia con la STC 88/2013, de 11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además, ha alegado que su condena en estas circunstancias ha supuesto una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en relación con el derecho a la presunción de inocencia, una doctrina jurisprudencial, que lo configura como el derecho a no ser condenado sin prueba de cargo válida, lo que determina que solo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También ha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en la STC 88/2013, de 11 de abril, FJ 12, y reiterando el criterio jurisprudencial en la STC 125/2017, de 13 de noviembre, FJ 9, señala que: “tomando en consideración el contenido del derecho a la presunción de inocencia y la proyección que sobre el mismo puede tener la previa lesión del derecho a un proceso con todas las garantías por una condena en segunda instancia, debe concluirse que, con carácter general,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De ese modo, la vulneración del derecho a un proceso con todas las garantías puede llegar a determinar la anulación de la sentencia condenatoria y la retroacción de actuaciones para que el órgano judicial dicte una nueva resolución respetuosa con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sigue argumentado la citada sentencia,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 O como señala la STC 59/2018, de 4 de junio, FJ 5, se vulnera el derecho a la presunción de inocencia si se deja de someter a valoración el testimonio exculpatorio de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conclusión idéntica a la que acabamos de transcribir debe llegarse cuando la parte esencial de la actividad probatoria sobre los elementos subjetivos del delito de que se trate no haya sido objeto de consideración por el órgano judicial de revisión con las debidas garantías (STC 73/2019,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concurre que el elemento subjetivo del delito de prevaricación administrativa solo podría ser inferido por el órgano judicial de segunda instancia tras escuchar el testimonio de la acusada con publicidad, inmediación y contradicción, pues la ponderación de su testimonio era absolutamente esencial para poder inferir de manera concluyente la culpabilidad y, muy especialmente, la de su testimonio exculpatorio, habida cuenta de la ya señalada obligación derivada del derecho a la presunción de inocencia de someter a valoración la versión o la prueba de descargo aportada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ha dejado de someter a valoración el testimonio exculpatorio de la acusada, ha vulnerado también el derecho a la presunción de inocencia, toda vez que, tratándose de elementos esenciales del tipo que no han sido apreciados con las debidas garantías y no existe la acreditación precisa que haga viable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vulneración a la persona física recurrente de sus derechos a un proceso con todas las garantías (art. 24.2 CE) y a la presunción de inocencia (art. 24.2 CE) determina la anulación de la resolución judicial impugnada y la del auto desestimatorio del incidente de nulidad de actuaciones, en tanto que no reparó dichas vulneraciones, con mantenimiento del fallo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Casado Nieto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de 23 de octubre de 2018, núm. 737/2018, de la Sección Vigesimotercera de la Audiencia Provincial de Madrid, así como del auto de 11 de enero de 2019, del mismo órgano judicial, con mantenimiento del fallo dictado en la Sentencia núm. 512/2018, de 16 de julio, por el Juzgado de lo Penal núm. 3 de Madrid en el juicio oral 215-2015.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