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10 de febrero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3547-2019, promovido por Euroinversiones Inmobiliarias Costa Sur, S.L., en el procedimiento de ejecución hipotecaria núm. 353-2018,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6 de junio de 2019, la entidad Euroinversiones Inmobiliarias Costa Sur, S.L., representada por la procuradora de los tribunales doña Blanca Berriatua Horta y bajo la dirección del letrado don Marcelino Gilabert García, interpuso recurso de amparo contra los autos dictados por el Juzgado de Primera Instancia e Instrucción núm. 5 de Lorca en el procedimiento de ejecución hipotecaria núm. 353-2018, en fechas 21 de septiembre de 2018 y 23 de abril de 2019, por los que, respectivamente, se inadmite por extemporánea la oposición a la ejecución hipotecaria formulada por la recurrente y se desestima el recurso de reposición interpuesto contra la primera de las resoluciones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 considerar que “la continuación de la ejecución derivada de los pronunciamiento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26 de noviembre de 2019, la Sección Tercera de este Tribunal acordó admitir a trámite el recurso de amparo y, a su vez, dirigir comunicación al Juzgado de Primera Instancia e Instrucción núm. 5 de Lorca, a fin de que, en el plazo de diez días, remitiera certificación o fotocopia adverada de las actuaciones correspondientes a los autos de ejecución hipotecaria núm. 353-2018 y emplazara a quienes hubieran sido parte en el proceso del que trae causa el presente recurso de amparo, excepto a la parte recurrente en amparo, para que pudieran comparecer, si lo desean,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la referida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7 de diciembre de 2019, la parte demandante formuló sus alegaciones, en el cual reitera lo interesado en el otrosí de su demanda, con sustento en el ATC 287/2013, de 16 de diciembre, cuyo contenido parcialmente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el 17 de diciembre del 2019. En síntesis, interesa que se acuerde la anotación preventiva de la demanda en el registro de la propiedad. Tras compendiar la doctrina constitucional relativa a la suspensión prevista en el art. 56 LOTC, sostiene que la solicitud de la medida de suspensión solo alude a la pérdida de finalidad del recurso, para el caso de que llegara a celebrarse la subasta, pero no ofrece ninguna razón que justifique esa pérdida de la finalidad a que se refiere. Además, el fiscal considera más eficaz la anotación preventiva de la demanda en el registro de la propiedad, medida mediante la cual se daría publicidad a terceros de la pendencia del recurso y se evitaría que un hipotético tercer adquirente del inmueble hipotecado quede especialmente protegido por su buena fe en la adquisición.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353-2018,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pues la medida idónea es la anotación preventiva de la demanda en el registro de la propiedad. La parte recurrente se limita a poner de manifiesto, genéricamente, que la eventual adjudicación a terceros puede hacer perder al recurso de amparo su finalidad, sin añadir indicación alguna sobre la situación y circunstancias de la entidad mercantil recurrente ni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 Esta misma ha sido la solución acogida recientemente, entre otros, en los AATC 2/2019, de 9 de enero, 88/2018, de 17 de septiembre, y 106/2017, de 17 de julio, así como en el ATC 85/2019, de 15 de julio, a propósito de otro procedimiento hipotecario seguido ante el Juzgado núm. 3 de Lorca, en el que se plantearon los mismos argumentos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en su lugar,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353-2018,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