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5811-2018, promovido por la mercantil Penrei Inversiones, S.L., contra el auto del Juzgado de Primera Instancia e Instrucción núm. 3 de Lorca, de 10 de julio de 2018, que inadmitió la demanda de oposición a la ejecución formulada por dicha entidad, en el procedimiento de ejecución hipotecaria núm. 101-2018 instado por la entidad Banco de Sabadell; y contra el auto del mismo juzgado, de 24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noviembre de 2018, la procuradora de los tribunales doña Blanca Berriatua Horta, actuando en nombre y representación de la mercantil Penrei Inversiones, S.L., bajo la defensa del letrado don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la finca registral núm. 43.331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3 de mayo de 2018, aclarado por posterior auto de 22 de junio siguiente, por el que acordó el despacho de ejecución (procedimiento de ejecución hipotecaria núm. 101-2018), requiriendo de pago a las ejecutadas y alternativo derecho a oponerse a le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8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“EJH/0000101/2018”; notificación a la que podía acceder desde el día 8 de mayo de 2018 hasta el 23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22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23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23 de junio de 2018, por personal de la recurrente se accedió al enlace remitido por la dirección electrónica habilitada y, con ello, a la notificación enviada por el Juzgado de Primera Instancia ejecutor en relación con el procedimiento hipotecario núm. 101-2018.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2018, el representante procesal de la demandante de amparo formalizó ante el Juzgado a quo el escrito de oposición al despacho de ejecución, aportando una serie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10 de julio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las ejecutadas Penrei Inversiones, S.L., y Euroinversiones Inmobiliarias Costa Sur, S.L., representadas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de la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de la entidad Euroinversiones Inmobiliarias, S.L., se interpusieron recursos de reposición contra el anterior auto. La primera de ellas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24 de septiembre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 la art. 43 de la citada LPACAP (ley 39/2015). Así dice el artículo 43. 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7 de mayo 2018 no accediendo al contenido hasta el día 21 de junio de 2018 (fuera de los diez días naturales), presentando los escritos de oposición a la ejecución en fecha 9 de julio de 2018 claramente fuera del plazo legalmente establecido en el art. 556. 1 LEC (dentro de los 10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10 de julio de 2018, se los notificó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24 de septiembre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24 de septiembre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101-2018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día 17 de junio de 2019 por la que acordó: (i) admitir a trámite el recurso, “apreciando que concurre en el mismo una especial trascendencia constitucional [art. 50 .1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101-2018; (iii) previamente emplazara a quienes hubieran sido parte en éste, excepto a la recurrente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101/2018”, y, si hubiere recaído resolución, se certificara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23 de julio de 2019, se recibió en el registro de este Tribunal la correspondiente certificación del juzgado a quo fechada el 8 de julio de 2019, en la que se hizo constar “que en los presentes autos no se ha interpuesto recurso de apelación por ninguna de las partes personadas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día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septiembre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14 de octubre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en fecha 30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101/18”,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3 de diciembre de 2019, aceptando la sucesión procesal solicitada, y copia del auto de 31 de enero de 2020, desestimando el recurso de reposición interpuesto contra aquél por la entidad Penrei Inversiones, S.L., el 6 de febrero de 2020, la Sección Cuarta de este Tribunal dictó providencia acordando “tener por personada como parte comparecida en el presente recurso a la entidad Pera Assets Designated Activity Company, en virtud de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18 de febrero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Sección Cuarta, Sala Segunda de este Tribunal, núm. 94/2019, de 18 de julio,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3 de Lorca, de 10 de julio de 2018 y de 24 de septiembre de 2018, recaídos en el proceso hipotecario núm. 101-2018.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LEC.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10 de julio de 2018 y de 24 de septiembre de 2018, dictados por el Juzgado de Primera Instancia e Instrucción núm. 3 de Lorca en el proceso de ejecución hipotecaria núm. 101-2018,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