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51</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15 de junio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en el recurso de amparo núm. 6087-2019, promovido por Euroinversiones Inmobiliarias Costa Sur, S.L., en el procedimiento de ejecución hipotecaria núm. 295-2018,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25 de octubre de 2019, la entidad Euroinversiones Inmobiliarias Costa Sur, S.L., representada por la procuradora de los Tribunales doña Blanca Berriatua Horta y bajo la dirección del letrado don Marcelino Gilabert García, interpuso recurso de amparo contra los autos dictados por el Juzgado de Primera Instancia e Instrucción núm. 5 de Lorca en el procedimiento de ejecución hipotecaria núm. 295-2018, en fechas 21 de septiembre de 2018 y 10 de septiembre de 2019, por los que, respectivamente, se inadmite por extemporánea la oposición a la ejecución hipotecaria formulada por la recurrente, y se desestima el recurso de reposición interpuesto contra la primera de las resoluciones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del procedimiento de ejecución hipotecaria, al considerar que “la continuación de la ejecución derivada de los pronunciamiento judiciales que han sido objeto de impugnación, con la celebración de subasta y eventual adjudicación a terceros, pueden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24 de febrero del 2020, la Sección Tercera de este Tribunal acordó admitir a trámite el recurso de amparo y, a su vez, dirigir comunicación al Juzgado de Primera Instancia e Instrucción núm. 5 de Lorca, a fin de que, en el plazo de diez días, remitiera certificación o fotocopia adverada de las actuaciones correspondientes a los autos de ejecución hipotecaria núm. 295-2018, y emplazara a quienes hubieran sido parte en el proceso del que trae causa el presente recurso de amparo, excepto a la parte recurrente en amparo, para que pudieran comparecer, si lo desean,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misma fecha, la referida Sección acordó formar la oportuna pieza para la tramitación del incidente de suspensión y, conforme a lo dispuesto en el art. 56 de la Ley Orgánica del Tribunal Constitucional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presentado el 3 de marzo del 2020, la parte demandante formuló sus alegaciones, en las cuales reitera la solicitud de suspensión formulada en la demanda. En síntesis, considera procedente la suspensión del procedimiento de ejecución, pues si no se adopta la medida interesada se podría materializar la entrega de la posesión y la transmisión de la propiedad del inmueble a un tercero, lo que daría lugar a una situación difícilmente reversible. Por otro lado, alega que la suspensión del procedimiento no originaría una perturbación grave de los intereses generales o de los derechos fundamentales y libertades públicas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apoyo de su pretensión invoca diferentes resoluciones de este Tribunal en las que se acordó la suspensión del procedimiento de ejecución; concretamente, los AATC 21/2018, de 5 de marzo, 58/2018, de 4 de junio, y 117/2018, de 29 de octubre, cuyo contenido transcribe parcialmente. Finalmente, sintetiza la argumentación dada en el escrito de demanda para fundar la lesión que dice haber sufrido, así como reitera las razones dadas para justificar la solicitud de suspensión del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sus alegaciones el 6 de marzo del 2020. En síntesis, interesa que se acuerde la anotación preventiva de la demanda en el registro de la propiedad. Tras compendiar la doctrina constitucional relativa a la suspensión prevista en el art. 56 LOTC, afirma que la solicitud de la medida de suspensión se limita a aludir a la pérdida de finalidad del recurso para el caso de que “llegara a celebrarse la subasta de los bienes inmuebles en conflicto y su actuación a un tercero que actuaría de buena fe”. Por otro lado, el fiscal aprecia que la suspensión comportaría la paralización del procedimiento ejecutivo que, por su propia naturaleza, goza de las características de celeridad y sumariedad; y además, considera más eficaz la anotación preventiva de la demanda en el registro de la propiedad, medida mediante la cual se daría publicidad a terceros de la pendencia del recurso, y se evitaría que un hipotético tercer adquirente del inmueble hipotecado quede especialmente protegido por su buena fe en la adquisición.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295-2018, seguido en el Juzgado de Primera Instancia e Instrucción núm. 5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37/2014, FJ 2; 282/2014, de 17 de noviembre, FJ 4,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de la que se ha hecho mención al caso permite concluir, de acuerdo con el Ministerio Fiscal, que resulta improcedente la suspensión solicitada, pues la medida idónea es la anotación preventiva de la demanda en el registro de la propiedad. La parte recurrente se limita a poner de manifiesto, que la eventual adjudicación a terceros de los bienes inmuebles sujetos a ejecución puede hacer perder al recurso de amparo su finalidad, sin añadir indicación alguna sobre la situación y circunstancias de la entidad mercantil recurrente ni sobre las características, destino y estado posesorio del inmueble hipotecado. En tales circunstancias, no es posible afirmar que la continuación del curso del procedimiento judicial, incluso con un desplazamiento posesorio, provoque por sí sola un perjuicio determinante de la perdida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haga irreivindicable. Esta misma ha sido la solución acogida recientemente, entre otros, en los AATC 2/2019, de 9 de enero; 88/2018, de 17 de septiembre, y 106/2017, de 17 de julio, así como en el ATC 85/2019, de 15 de julio, a propósito de otro procedimiento hipotecario seguido ante el Juzgado de Primera Instancia e Instrucción núm. 3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 [AATC 21/2018, de 5 de marzo, FJ 5, y 88/2018, de 17 de septiembre,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en su lugar,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295-2018, seguido en el Juzgado de Primera Instancia e Instrucción núm. 5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junio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