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29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en el recurso de amparo núm. 3546-2019,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5 de Lorca en el procedimiento de ejecución hipotecaria núm. 372-2018, en fechas 21 de septiembre de 2018 y 23 de abril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372-2018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8 de junio de 2018 se acordó despachar ejecución frente las sociedades demandadas. El citado auto y el decreto de la misma fecha que le sigue fueron comunicados a las citadas entidades a través de la sede judicial electrónica el día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31 de julio de 2018. Por auto de 21 de septiembre de 2018 se acordó su inadmisión por presentación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Alegó, en síntesis, que las actuaciones de notificación y requerimiento no habían sido realizadas el día 13 de junio de 2018 sino el 24 de julio de 2018 y que la comunicación remitida a través de la dirección electrónica habilitada no puede entenderse más que un aviso de puesta a disposición o descarga de su contenido durante un plazo determinado (en el caso desde el 13 de junio al 29 de julio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23 de abril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“consta que la notificación se puso a disposición de las recurrentes en fecha 13/06/2018 no accediendo al contenido hasta el día 24/07/2018 (fuera de los tres días que establece la normativa procesal), presentando los escritos de oposición a la ejecución en fecha 31/07/2018 claramente fuera del plazo legalmente establecido en el art. 556.1 LEC (dentro de los diez días siguientes al de la notificación del auto despachando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órgano emisor Juzgados y Tribunales (SGAJ) en la Dirección Electrónica Habilitada del titular Penrei Inversiones, S.L., – NIF B73836173.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13-06-2018 hasta el 29-07-2018.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EHJ/000000102/2018’”.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2019 la Sección Primera de este tribunal acordó admitir a trámite el recurso de amparo y dirigir comunicación al Juzgado de Primera Instancia e Instrucción núm. 5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7 de octubre de 2019 la parte demandante formuló sus alegaciones, reiterando lo dicho en el otrosí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17 de octubre de 2019, interesa que se acuerde la anotación preventiva de la demanda en el registro de la propiedad, aunque esta última medida no haya sido solicitada en el recurso de amparo. Tras exponer la doctrina de este tribunal sobre suspensión de resoluciones y actos impugnados, aduce que en el presente caso la suspensión no aparece muy fundamentada por la propia parte recurrente, resultando más eficaz la anotación preventiva de la demanda en el registro de la propiedad mediante la que se evitaría que un hipotético tercer adquirente del inmueble hipotecado quede especialmente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8 de mayo de 2020 se acordó, conforme a lo dispuesto en el art. 56 LOTC, dar audiencia por tres días a Pera Assets Designated Activity Company, representada por la procuradora doña Blanca María Grande Pesquero, por haberse personado en las actuaciones principales. Esta parte ha presentado escrito en que solicita la denegación de la suspensión ya que, a su juicio, la demandante de amparo no ha acreditado ningún tipo de perjuicio que pueda considerarse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372-2018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 Últimamente, en relación con la demandante de amparo y en los recursos que componen la serie en que se integra el presente, se han dictado en el mismo sentido, entre otros, los AATC 7/2020, de 27 de enero, y 26/2020,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372-2018,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