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en el recurso de amparo núm. 3560-2019,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junio de 2019,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5 de Lorca en el procedimiento de ejecución hipotecaria núm. 372-2018, en fechas 21 de septiembre de 2018 y 23 de abril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372-2018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8 de junio de 2018 se acordó despachar ejecución frente las sociedades demandadas. El citado auto y el decreto de la misma fecha que le sigue fueron comunicados a las citadas entidades a través de la sede judicial electrónica el día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31 de julio de 2018. Por auto de 21 de septiembre de 2018 se acordó su inadmisión por presentación extemporánea tomando como fecha de notificación el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Alegó, en síntesis, que las actuaciones de notificación y requerimiento no habían sido realizadas el día 13 de junio de 2018 sino el 24 de julio de 2018 y que la comunicación remitida a través de la dirección electrónica habilitada no puede entenderse más que un aviso de puesta a disposición o descarga de su contenido durante un plazo determinado (en el caso desde el 13 de junio al 29 de julio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23 de abril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“consta que la notificación se puso a disposición de las recurrentes en fecha 13 de junio de 2018 no accediendo al contenido hasta el día 24 de julio de 2018 (fuera de los tres días que establece la normativa procesal), presentando los escritos de oposición a la ejecución en fecha 31 de julio de 2018 claramente fuera del plazo legalmente establecido en el art. 556. 1 LEC (dentro de los diez días siguientes al de la notificación del auto despachando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Penrei Inversiones, S.L. — NIF B73836173.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13-06-2018 hasta el 29-07-2018.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 3 DE LORCA EHJ/000000102/2018’”.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2020 la Sección Primera de este tribunal acordó admitir a trámite el recurso de amparo y dirigir comunicación al Juzgado de Primera Instancia e Instrucción núm. 5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22 de junio de 2020 la parte demandante formuló sus alegaciones, reiterando lo dicho en el otrosí de su demanda y trascribiendo parte del ATC 21/2018,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29 de junio de 2020, interesa que se acuerde la anotación preventiva de la demanda en el registro de la propiedad, aunque esta última medida no haya sido solicitada en el recurso de amparo. Tras exponer la doctrina de este tribunal sobre suspensión de resoluciones y actos impugnados, aduce que en el presente caso la suspensión no aparece muy fundamentada por la propia parte recurrente, resultando más eficaz la anotación preventiva de la demanda en el registro de la propiedad mediante la que se evitaría que un hipotético tercer adquirente del inmueble hipotecado quede especialmente protegido.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372-2018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88/2018, de 17 de septiembre, y 2/2019, de 9 de enero. Últimamente, en relación con recursos que se han dictado en el mismo sentido, entre otros, los AATC 7/2020, de 27 de enero, y 26/2020,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372-2018,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