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6093-2019,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octubre de 2019, tuvo entrada en el registro general de este Tribunal Constitucional un escrito de la procuradora doña Blanca Berriatua Horta, en representación de la entidad Penrei Inversiones, S.L., por el que interpuso recurso de amparo contra el auto de 21 de septiembre de 2018 del Juzgado de Primera Instancia e Instrucción núm. 5 de Lorca, que inadmitió el escrito de oposición a la ejecución hipotecaria promovida por Banco de Sabadell, S.A.; y contra el auto del mismo juzgado, de 10 de septiembre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septiembre de 2018, el juzgado de primera instancia e instrucción ya indicado dictó un auto en el procedimiento de ejecución hipotecaria núm. 284-2018 por el que acordó: “Inadmitir a trámite la oposición formulada por la parte ejecutada Penrei Inversiones, S.L., Euro Inversiones Inmobiliarias Costa Sur, S.L., […] por estar presentada fuera de plazo”,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de la Ley de enjuiciamiento civil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10 de septiembre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del procedimiento administrativo común de las administraciones públicas (LPACAP) y art. 273.3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afirmar que “[i]nterpretan las recurrentes de forma errónea la normativa aplicable”, con cita de los arts. 162.2 LEC, 33.2 y 34 de la Ley 18/2011, de 5 de julio, reguladora del uso de las tecnologías de la información y comunicación en la administración de justicia, y el art. 11.2 del Real Decreto 1065/2015, de 27 de noviembre, sobre comunicaciones electrónicas en la administración de justicia y en el ámbito territorial del Ministerio de justicia y por el que se regula el sistema LexNet; y referirse al acuerdo no jurisdiccional del Pleno de la Sala Cuarta del Tribunal Supremo de 6 de julio de 2016, acerca del cómputo del plazo de tres días del art. 162.2 LEC, así como a un informe del Colegio de Registradores de la Propiedad en relación con las notificaciones electrónicas, el juzgado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09 de mayo de 2018 no accediendo al contenido hasta el día 24 de junio de 2018 (fuera de los diez días que establece la normativa procesal), presentando los escritos de oposición a la ejecución en fecha 09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(sic)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Ley de enjuiciamiento civil.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importante hacer mención a la “recientísima sentencia del Tribunal Constitucional STC 47/2019, de 8 de abril de 2019, que no solo confirma todo lo dicho hasta ahora en el presente recurso de amparo, sino que lo refuerza, en el sentido de que en modo alguno debe entenderse que, tratándose del emplazamiento, este no se efectúe en el domicilio como impone el artículo 155.1 de la Ley de Enjuiciamiento Civil”, sin que a ello obste la argumentación dada por el auto que inadmite la oposición; pasando a reproducir pasajes de los fundamentos jurídicos 2 a 5 de dicha STC 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10 de septiembre de 2019 que desestimó la reposición, se rechaza por la recurrente que los preceptos citados por el juzgado fundamenten su decisión, en cuanto “no es menos cierto que, en ningún precepto de la Ley de enjuiciamiento civil se diga que al proceso civil se le aplican las normas del proceso administrativo, ni existe ningún precepto en ninguna otra norma que otorgue a la normativa del proceso administrativo el mismo rango o aplicabilidad que puedan tener la norma procesal civil, la penal, la contencioso-administrativa o la social, que disponen de regulación específica a través de normas concretas, puesto que, mientras la administrativa regula un tipo de procedimiento específico, las otras hacen referencia a procesos que se plantean ante tribunales de justicia, que aunque forman parte de la ‘administración’, tienen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solicitó la suspensión de la continuación del procedimiento de ejecución hipotecaria 284-2018 seguido ante el Juzgado de Primer Instancia e Instrucción número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30 de octubre de 2019 solicitando al juzgado a quo la remisión de certificación o fotocopia adverada de las actuaciones correspondientes del procedimiento de ejecución hipotecaria núm. 284-2018.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15 de junio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Constando testimonio de la ejecución hipotecaria núm. 284-18 del Juzgado de Primera Instancia e Instrucción número 5 de Lorca, en el recurso conexionado núm. 6079-19, y en aplicación de lo dispuesto en el art. 51 LOTC, diríjase atenta comunicación a dicho juzgado a fin de que, en plazo que no exceda de diez días, emplace, para que en el plazo de diez días puedan comparecer, si lo desean, en el presente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Fórmese pieza separada para la tramitación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15 de junio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24 de junio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sus AATC 21/2018 de 5 de marzo, y 58/2018 de 4 de junio, reiterando a renglón seguido las vulneraciones constitucionales de fondo que aduce en su demanda, e indicando que de no adoptarse la medida y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29 de junio de 2020,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 LOTC y doctrina general sobre la procedencia de la suspensión del acto impugnado en amparo, señala que este tribunal ha establecido como criterio general, “que no procede suspender la ejecución de aquellos fallos judiciales que admiten la restitución íntegra de lo ejecutado (como de ordinario ocurre, aunque no sin excepciones, en las condenas de contenido patrimonial)”. Que no obstante ello, “tampoco las condenas de contenido patrimonial pueden quedar absolutamente marginadas de la posibilidad de suspenderse, habrá que valorar en estos casos, con especial énfasis que no se produzca perjuicio para el interés general, lo que normalmente no ocurrirá en los pleitos puramente civiles, y de manera más concreta que no se acabe implicando los derechos presentes o futuros de terceros que puedan acabar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la doctrina a la solicitud formulada por la recurrente, se entiende por el fiscal que la misma “no parece muy fundamentada […] ya que se limita a la mera petición sin explicitar ninguna razón. Acordar la suspensión solicitada comportaría la drástica medida que supondría la paralización del procedimiento ejecutivo, que por su propia naturaleza goza de las características de celeridad y sumariedad. Mucho más eficaz para conseguir el efecto protector deseado por la recurrente sería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(sic)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no tiene dudas de que este tribunal puede acordar dicha medida, ex art. 56.3 LOTC, conforme tiene establecido nuestra doctrina, con cita del ATC 95/2015, de 25 de mayo, FJ 4. Entiende que “nos encontramos en uno de esos supuestos en que tratándose de un (sic)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284-2018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 en relación con el presente recurso de amparo instado por la entidad Penrei Inversiones, S.L.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284-2018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