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5429-2019, promovido por la entidad Penrei Inversiones,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septiembre de 2019, la entidad Penrei Inversiones, S.L., representada por la procuradora de los tribunales doña Blanca Berriatua Horta y bajo la dirección de la letrada doña Anju Nirmala Benavent Rodríguez, interpuso recurso de amparo contra los autos de 21 de septiembre de 2018 y de 12 de julio de 2019, dictados por el Juzgado de Primera Instancia e Instrucción núm. 5 de Lorca, en el procedimiento de ejecución hipotecaria núm. 294-2018, por los que, respectivamente, se inadmite por extemporánea la demanda de oposición formulada a la ejecución hipotecaria y se confirma aquella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Juzgado de Primera Instancia e Instrucción núm. 5 de Lorca se sigue procedimiento de ejecución hipotecaria núm. 294-2018 promovido por la entidad Banco de Sabadell, S.A., frente a las sociedades Euroinversiones Inmobiliarias Costa Sur, S.L., en calidad de prestataria e hipotecante, y Penrei Inversiones, S.L., en calidad de titular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a trámite la demanda y despachada la ejecución, el día 22 de mayo de 2018 se notificó y requirió a ambas ejecutadas a través de la sede judicial electrónica, que en fecha 20 de julio de 2018 presentaron oposición a la ejecución hipotecaria aduciendo que la comunicación recibida el día 22 de mayo no constituía, a su juicio, una notificación o requerimiento en legal forma sino solo un aviso de la puesta a disposición de una notificación electrónica que puede descargarse en un plazo determinado. El auto de 21 de septiembre de 2018 inadmitió la oposición a la ejecución, siendo confirmado en reposición por el auto de 12 de julio de 2019, que dispuso que, al ser indiscutible la condición de personas jurídicas de las recurrentes, “las mismas desde el 1 de enero de 2017 [disposición transitoria cuarta de la Ley 42/2015, de 5 de octubre, de reforma de la Ley de enjuiciamiento civil (LEC)] están obligadas a relacionarse con la administración de justicia por medios electrónicos [art. 14.2 a) de la Ley 39/2015 del procedimiento administrativo común de las administraciones públicas (LPACAP) y art. 273.3 a) de la LEC]”. Y resultando que la notificación “se puso a disposición de las recurrentes en fecha 22 de mayo de 2018 no accediendo al contenido hasta el día 07 de julio de 2018 (fuera de los tres días que establece la normativa procesal), presentando los escritos de oposición a la ejecución en fecha 20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se trae,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 cita de la STC 47/2019, de 8 de abril, se queja en su recurso de amparo de la vulneración del art. 24.1 y 2 CE, al no haberle sido notificado con las debidas garantías, sin causar indefensión, el primer acto de comunicación procesal o emplazamiento con ocasión de la demanda de ejecución hipotecaria, otorgándose efecto a la remisión de un correo electrónico que carecería, a su parecer, de los requisitos esenciales para considerarlo un acto de notificación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con la interpretación ofrecida en las resoluciones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2020, la Sección Cuarta de este tribunal acordó admitir a trámite el recurso de amparo y dirigir comunicación al Juzgado de Primera Instancia e Instrucción núm. 5 de Lorca, a fin de que, en plazo que no excediera de diez días, emplazase a quienes hubieran sido parte en el proceso del que trae causa el presente recurso de amparo, excepto a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9 de julio de 2020, la parte demandante formuló sus alegaciones, reiterando lo expuesto en el otrosí de su demanda y trascribiendo como fundamento de su pretensión lo expresado en parte en el ATC 21/2018,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15 de julio de 2020, el Ministerio Fiscal se opuso a la pretendida suspensión del procedimiento de ejecución hipotecaria, e interesó que, alternativamente, se acordase la anotación preventiva de la demanda de amparo en el registro de la propiedad. Tras exponer la doctrina de este tribunal sobre suspensión de resoluciones y actos impugnados, aduce que en el presente caso la petición del demandante no se funda en ninguna razón que permita afirmar que la continuación del procedimiento judicial, incluso con desplazamiento posesorio, provoque un perjuicio determinante de la perdida de la finalidad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294-2018,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177/2019, de 16 de diciembre, FJ 2, o, en fecha más próxima, ATC 27/2020, de 24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[entre otros, AATC 190/2015, de 5 de noviembre, FJ 2 a); 59/2017, FJ 1; 147/2017, de 13 de noviembre, FJ 1, y 177/2019, FJ 2, o, recientemente, ATC 38/2020, de 9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(como los más recientes AATC 56/2013, de 13 de febrero, FJ 2; 74/2013, de 8 de abril, FJ 2; 152/2013, de 8 de julio, FJ 2; 282/2014, de 17 de noviembre, FJ 4; 59/2015, de 16 de marzo, FJ 2; 177/2019, FJ 2, o 30/2020, de 24 de febrero,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si se produjera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294-2018,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