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6051-2018, promovido por Euroinversiones Inmobiliarias Costa Sur, S.L., contra el auto del Juzgado de Primera Instancia e Instrucción núm. 3 de Lorca de 28 de septiembre de 2018, por el que se desestima el recurso de reposición interpuesto contra el auto de 10 de julio de 2018, por el que se inadmite el escrito de oposición a la ejecución hipotecaria en el procedimiento de ejecución hipotecaria núm. 106-2018.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Euroinversiones Inmobiliarias Costa Sur, S.L., representada por la procuradora de los tribunales doña Blanca Berriatua Horta, y bajo la asistencia del letrado don Marcelino Gilabert García, interpuso recurso de amparo contra las resoluciones judiciales que se mencionan en el encabezamiento de esta sentencia mediante escrito registrado en este tribunal el 16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3 de Lorca con el núm. 106-2018.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3 de mayo de 2018 frente a las sociedades demandadas. El citado auto y el decreto de la misma fecha que le sigue, acordando las medidas de ejecución y el requerimiento de pago al ejecutado, fueron comunicados a las citadas entidades a través de la sede judicial electrónica el día 8 de mayo de 2018; fecha en la que se recibió en la dirección electrónica habilitada de ambas entidades un mensaje del servicio de notificaciones electrónicas de la Fábrica Nacional de Moneda y Timbre con el aviso de que hasta el 23 de junio siguiente tendrían disponible una notificación del juzgado de Lorca relacionada con el procedimiento EHJ 0106-2018, a la que, para que constase como leída, debía acceder a través de un enlace adjunto. La ejecutada accedió a dicho enlace el 23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9 de julio de 2018 escrito de oposición a la ejecución despachada. Por auto de 10 de julio de 2018, el órgano judicial acordó la inadmisión de la oposición formulada por entender extemporánea su presentación, tras tomar como fecha de emplazamiento el 8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realizadas el 8 de mayo de 2018, sino el 23 de junio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28 de septiembre de 2018 con fundamento en que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el art. 162.2 LEC impone que la comunicación electrónica surte efecto trascurridos tres días desde que fue efectuada sin que el destinatario acceda a su contenido. Concluye que, al constar que la notificación se puso a disposición de las ejecutadas el 8 de mayo de 2018, la presentación del escrito de oposición el 9 de julio de 2018 se produjo fuera del plazo legalmente establecido en el art. 556.1 LEC, esto es más allá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no se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además, expone que el auto de 28 de septiembre de 2018 fundamenta su decisión en la Ley del procedimiento administrativo común, norma que es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 Afirma también que el auto de 28 de septiembre de 2018 “huye de este tipo de consideraciones” al aplicar una normativa administrativa ajena al ámbito procesal y prescindir, a su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de Justicia de la Sección Tercera de este tribunal, por diligencia de ordenación de 5 de septiembre de 2019, acordó requerir al órgano judicial para que remitiera certificación acreditativa sobre la interposición de algún recurso de apelación en dicho procedimiento. El 6 de septiembre de 2019 se recibió certificación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28 de octubre de 2019,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porque puede dar ocasión para aclarar o cambiar su doctrina, como consecuencia de cambios normativos relevantes para la configuración del contenido del derecho fundamental [STC 155/2009, FJ 2 b)]”; dirigir atenta comunicación al órgano judicial para que remita certificación o fotocopia adverada de las actuaciones y emplazamiento para que puedan comparecen en los recursos de amparo quienes hubieran sido parte en el procedimiento; y la formación de la pieza separada de suspensión, que fue resuelta por ATC 152/2019,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Pera Assets Designated Activity Company, representada por la procuradora de los tribunales doña Blanca María Grande Pesquero y bajo la asistencia del letrado don Alejandro Ingram Solís, por escrito registrado el 3 de diciembre de 2019,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3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por providencia de 4 de febrero de 2020, tuvo por personada y parte a la procuradora doña Blanca María Grande Pesquero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mediante escrito registrado el 9 de marzo de 2020, formuló alegaciones solicitando la desestimación del recurso, argumentando, tras invocar los artículos 43 de la Ley del procedimiento administrativo común de las administraciones públicas y 162.2 LEC, que no se ha causado indefensión a la recurrente, pues consta que el auto despachando ejecución se puso a su disposición el 8 de mayo de 2018, presentando el escrito de oposición a la ejecución el 9 de julio siguiente, “claramente fuera del plazo legalmente establecido en el artículo 556.1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25 de febrero de 2020,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del Tribunal Constitucional sobre los actos de comunicación procesal, con expresa referencia a las SSTC 6/2019, de 17 de enero, y 47/2019, de 8 de abril, concluye que tanto por haber optado el órgano judicial por la notificación telemática en vez de la personal en el domicilio de la demandada, como por la forma de computar el plazo para formular oposición frente a la ejecución ya despachada, ha resultado infringido el derecho a la tutela judicial sin indefensión de la demandante, ya que, aunque en la regulación procesal conviven las notificaciones personales con las telemáticas, éstas últimas mantienen una excepción general cuando se trata del primer emplazamiento. De ese modo, la aplicación conjunta de lo establecido en los arts. 135, 152.2 y 155 LEC debió llevar al órgano judicial a aplicar la última de estas previsiones legales, conforme a la cual “cuando se trata del primer emplazamiento o citación del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recurrente presentó sus alegaciones el 9 de marzo de 2020, remitiéndose a lo expuesto en su demanda, haciendo mención adicional a los pronunciamientos de la STC 47/2019, de 8 de abril,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requerirle de pago o, alternativamente, permitirle presentar su oposición a la ejecución. Por el contrario, el órgano judicial optó por un emplazamiento electrónico a través del servicio de notificaciones electrónicas y dirección electrónica habilitada de la Fábrica Nacional de Moneda y Timbre. Por lo 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estimado en aplicación de la doctrina fijada en las SSTC 47/2019 y 40/2020 y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3 de Lorca, así como de todo lo actuado en el procedimiento de ejecución hipotecaria desde que se proveyó a su emplazamiento a través de la dirección electrónica habilitada, retrotrayendo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10 de julio y 28 de septiembre de 2018, dictados por el Juzgado de Primera Instancia e Instrucción núm. 3 de Lorca en el proceso de ejecución hipotecaria núm. 106-2018, así como de las actuaciones realizadas a partir del emplazamiento de la entidad recurrente a través de la dirección electrónica habilitada, en lo que respecta exclusivamente a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demandante de amparo,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