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6052-2018, promovido por Penrei Inversiones, S.L., contra el auto del Juzgado de Primera Instancia e Instrucción núm. 3 de Lorca de 28 de septiembre de 2018, por el que se desestima el recurso de reposición interpuesto contra el auto de 10 de julio de 2018, por el que se inadmite el escrito de oposición a la ejecución hipotecaria en el procedimiento de ejecución hipotecaria núm. 106-2018. Ha comparecido la entidad Pera Assets Designated Activity Company.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Penrei Inversiones, S.L., representada por la procuradora de los tribunales doña Blanca Berriatua Horta, y bajo la asistencia del letrado don Marcelino Gilabert García, interpuso recurso de amparo contra las resoluciones judiciales que se mencionan en el encabezamiento de esta sentencia mediante escrito registrado en este tribunal el 16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promovió un procedimiento de ejecución hipotecaria frente a las sociedades Euroinversiones Inmobiliarias Costa Sur, S.L., en calidad de prestataria e hipotecante, y Penrei Inversiones, S.L., en calidad de titular registral de un derecho de uso y disfrute sobre el inmueble hipotecado, que fue tramitado por el Juzgado de Primera Instancia e Instrucción núm. 3 de Lorca con el núm. 106-2018.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acordó despachar ejecución mediante auto de 3 de mayo de 2018 frente a las sociedades demandadas. El citado auto y el decreto de la misma fecha que le sigue, acordando las medidas de ejecución y el requerimiento de pago al ejecutado, fueron comunicados a las citadas entidades a través de la sede judicial electrónica el día 8 de mayo de 2018; fecha en la que se recibió en la dirección electrónica habilitada de ambas entidades un mensaje del servicio de notificaciones electrónicas de la Fábrica Nacional de Moneda y Timbre con el aviso de que hasta el 23 de junio siguiente tendrían disponible una notificación del juzgado de Lorca relacionada con el procedimiento EHJ 0106-2018, a la que, para que constase como leída, debía acceder a través de un enlace adjunto. La ejecutada accedió a dicho enlace el 23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demandante de amparo presentó el 9 de julio de 2018 escrito de oposición a la ejecución despachada. Por auto de 10 de julio de 2018, el órgano judicial acordó la inadmisión de la oposición formulada por entender extemporánea su presentación, tras tomar como fecha de emplazamiento el 8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demandante de amparo interpuso recurso de reposición, alegando que la notificación y requerimiento no habían de entenderse realizadas el 8 de mayo de 2018, sino el 23 de junio siguiente, y que la comunicación remitida a través de la dirección electrónica habilitada no constituye sino un aviso de puesta a disposición para descarga de su contenido durante un plazo determinado; poniendo de manifiesto que, entenderlo de otro modo, además de infringir los arts. 135, 152, 160 y 162 de la Ley de enjuiciamiento civil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28 de septiembre de 2018 con fundamento en que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del procedimiento administrativo común de las administraciones públicas, y 273.3 LEC. Según el auto, el art. 162.2 LEC impone que la comunicación electrónica surte efecto trascurridos tres días desde que fue efectuada sin que el destinatario acceda a su contenido. Concluye que, al constar que la notificación se puso a disposición de las ejecutadas el 8 de mayo de 2018, la presentación del escrito de oposición el 9 de julio de 2018 se produjo fuera del plazo legalmente establecido en el art. 556.1 LEC, esto es más allá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las resoluciones judiciales impugnadas han vulnerado su derecho a la tutela judicial efectiva sin indefensión (art. 24.1 CE), al haberse efectuado su emplazamiento como ejecutada a través de un correo electrónico remitido por un servicio de notificaciones electrónicas y no mediante entrega de la documentación correspondiente en papel en la sede de su domicilio social; y ello pese a que esa comunicación fue el primer emplazamiento en la causa. Además, señala que, en todo caso, siguió las indicaciones que le facilitó la comunicación electrónica, de manera que accedió al contenido de la notificación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insiste en que, por ser una persona jurídica, si bien está obligada a relacionarse con la administración de justicia a través de medios electrónicos, según establece el art. 273 LEC; sin embargo, cuando se trata del primer emplazamiento y, por tanto, todavía se no ha tenido ninguna relación con el juzgado correspondiente en ese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además, expone que el auto de 28 de septiembre de 2018 fundamenta su decisión en la Ley del procedimiento administrativo común, norma que es “inaplicable al ámbito procesal civil, puesto que además de existir normas concretas al respecto, no se dan en uno y otro ámbito las mismas garantías procedimentales”. Precisa que en materia de notificación de actos procesales resulta aplicable tanto la Ley de enjuiciamiento civil como el art. 24 CE, que reconoce el derecho a la tutela judicial efectiva. Alega finalmente que se ha producido también una vulneración del derecho a un proceso con todas las garantías (art. 24.2 CE), en las vertientes del derecho a la defensa contradictoria y del derecho a la asistencia letrada, las cuales permiten en todos los órdenes jurisdiccionales evitar desequilibrios en la posición procesal de las partes, sin limitaciones a su defensa que pudieran en caso contrario ocasionar indefensión a alguna de ellas. Afirma también que el auto de 28 de septiembre de 2018 “huye de este tipo de consideraciones” al aplicar una normativa administrativa ajena al ámbito procesal y prescindir, a su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se estime el recurso del amparo, acordando la nulidad de las resoluciones judiciales impugnadas y se ordene reponer las actuaciones al momento previo al dictado de la primera de las resoluciones judiciales impugnadas, a fin de que el juzgado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secretaria de justicia de la Sección Tercera de este tribunal, por diligencia de ordenación de 5 de septiembre de 2019, acordó requerir al órgano judicial para que remitiera certificación acreditativa sobre la interposición de algún recurso de apelación en dicho procedimiento. El 6 de septiembre de 2019 se recibió certificación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28 de octubre de 2019, acordó admitir a trámite 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y porque puede dar ocasión para aclarar o cambiar su doctrina, como consecuencia de cambios normativos relevantes para la configuración del contenido del derecho fundamental [STC 155/2009, FJ 2, b)]”; dirigir atenta comunicación al órgano judicial para que remitan certificación o fotocopia adverada de las actuaciones y emplazamiento para que puedan comparecen en los recursos de amparo quienes hubieran sido parte en el procedimiento; y la formación de la pieza separada de suspensión, que fue resuelta por ATC 153/2019,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Pera Assets Designated Activity Company, representada por la procuradora de los tribunales doña Blanca María Grande Pesquero y bajo la asistencia del letrado don Alejandro Ingram Solís, por escrito registrado el 3 de diciembre de 2019,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3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este tribunal, por providencia de 4 de febrero de 2020, tuvo por personada y parte a la procuradora doña Blanca María Grande Pesquero en la representación acreditada y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mediante escrito registrado el 9 de marzo de 2020, formuló alegaciones solicitando la desestimación del recurso, argumentando, tras invocar los artículos 43 de la Ley de procedimiento administrativo común de las administraciones públicas y 162.2 LEC, que no se ha causado indefensión a la recurrente, pues consta que el auto despachando ejecución se puso a su disposición el 8 de mayo de 2018, presentando el escrito de oposición a la ejecución el 9 de julio siguiente, “claramente fuera del plazo legalmente establecido en el artículo 556.1 LEC (dentro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9 de marzo de 2020, presentó sus alegaciones interesando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del Tribunal Constitucional sobre los actos de comunicación procesal, con expresa referencia a las SSTC 6/2019, de 17 de enero y 47/2019, de 8 de abril, concluye que tanto por haber optado el órgano judicial por la notificación telemática en vez de la personal en el domicilio de la demandada, como por la forma de computar el plazo para formular oposición frente a la ejecución ya despachada, ha resultado infringido el derecho a la tutela judicial sin indefensión de la demandante, ya que, aunque en la regulación procesal conviven las notificaciones personales con las telemáticas, éstas últimas mantienen una excepción general cuando se trata del primer emplazamiento. De ese modo, la aplicación conjunta de lo establecido en los arts. 135, 152.2 y 155 LEC debió llevar al órgano judicial a aplicar la última de estas previsiones legales, conforme a la cual “cuando se trata del primer emplazamiento o citación del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recurrente presentó sus alegaciones el 9 de marzo de 2020, remitiéndose a lo expuesto en su demanda, haciendo mención adicional a los pronunciamientos de la STC 47/2019, de 8 de abril,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constitucional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27 de febrero, FJ 3, ha abordado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(iii),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se ha concluido que no procede efectuar por medios electrónicos la citación o emplazamiento del demandado aún no personado en el procedimiento, dado que esos actos deben realizarse por remisión a su domicilio, sin que dicha forma de comunicación pueda ser sustituida por otra electrónica, como puede ser el caso de la efectuada a través de la dirección electrónica habilitada. Tal emplazamiento personal se exige en el art. 155.1 LEC, exigencia de la que es complemento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se hizo en la STC 40/2020, FJ 4, que las dos resoluciones judiciales impugnadas vulneraron el derecho a la tutela judicial efectiva sin indefensión de la recurrente, por no proceder a su emplazamiento personal en el proceso a efectos de requerirla de pago o, alternativamente, permitirle presentar su oposición a la ejecución. Por el contrario, el órgano judicial optó por un emplazamiento electrónico a través del servicio de notificaciones electrónicas y dirección electrónica habilitada de la Fábrica Nacional de Moneda y Timbre. Por lo 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presente recurso de amparo ha de ser estimado en aplicación de la doctrina fijada en las SSTC 47/2019 y 40/2020 y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3 de Lorca, así como de todo lo actuado en el procedimiento de ejecución hipotecaria desde que se proveyó a su emplazamiento a través de la dirección electrónica habilitada, retrotrayendo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Penrei Inversiones,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10 de julio y 28 de septiembre de 2018, dictados por el Juzgado de Primera Instancia e Instrucción núm. 3 de Lorca en el proceso de ejecución hipotecaria núm. 106-2018, así como de las actuaciones realizadas a partir del emplazamiento de la entidad recurrente a través de la dirección electrónica habilitada en lo que respecta exclusivamente a la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demandante de amparo,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