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1589-2019, promovido por Penrei Inversiones, S.L., contra el auto del Juzgado de Primera Instancia e Instrucción núm. 6 de Lorca de 22 de enero de 2019, por el que se desestima el recurso de reposición interpuesto contra el auto de 19 de septiembre de 2018, por el que se inadmite el escrito de oposición a la ejecución hipotecaria en el procedimiento de ejecución hipotecaria núm. 65-2018. Ha comparecido la entidad Pera Assets Designated Activity Company.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Penrei Inversiones, S.L., representada por la procuradora de los tribunales doña Blanca Berriatua Horta, y bajo la asistencia del letrado don Marcelino Gilabert García, interpuso recurso de amparo contra las resoluciones judiciales que se mencionan en el encabezamiento de esta sentencia mediante escrito registrado en este tribunal el 12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promovió un procedimiento de ejecución hipotecaria frente a las sociedades Euroinversiones Inmobiliarias Costa Sur, S.L., en calidad de prestataria e hipotecante, y Penrei Inversiones, S.L., en calidad de titular registral de un derecho de uso y disfrute sobre el inmueble hipotecado, que fue tramitado por el Juzgado de Primera Instancia e Instrucción núm. 6 de Lorca con el núm. 65-2018.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acordó despachar ejecución mediante auto de 20 de junio de 2018 frente a las sociedades demandadas. El citado auto y el decreto de la misma fecha que le sigue, acordando las medidas de ejecución y el requerimiento de pago al ejecutado, fueron comunicados a las citadas entidades a través de la sede judicial electrónica el día 21 de junio de 2018; fecha en la que se recibió en la dirección electrónica habilitada de ambas entidades un mensaje del servicio de notificaciones electrónicas de la Fábrica Nacional de Moneda y Timbre con el aviso de que hasta el 27 de julio siguiente tendrían disponible una notificación del juzgado de Lorca relacionada con el procedimiento EHJ 065-2018, a la que, para que constase como leída, debía acceder a través de un enlace adjunto. La ejecutada accedió a dicho enlace el 27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demandante de amparo presentó el 27 de agosto de 2018 escrito de oposición a la ejecución despachada. Por auto de 19 de septiembre de 2018, el órgano judicial acordó la inadmisión de la oposición formulada por entender extemporánea su presentación, tras tomar como fecha de emplazamiento el 21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demandante de amparo interpuso recurso de reposición, alegando que la notificación y requerimiento no habían de entenderse realizados el 21 de junio de 2018, sino el 27 de julio siguiente, y que la comunicación remitida a través de la dirección electrónica habilitada no constituye sino un aviso de puesta a disposición para descarga de su contenido durante un plazo determinado; poniendo de manifiesto que, entenderlo de otro modo, además de infringir los arts. 135, 152, 160 y 162 de la Ley de enjuiciamiento civil (LEC), vulneraría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22 de enero de 2019 con fundamento en que las entidades ejecutadas tienen la condición de persona jurídica y, por tanto, están obligadas a relacionarse con la administración de justicia por medios electrónicos, de conformidad con lo previsto en la disposición transitoria cuarta de la Ley 42/2015, de 5 de octubre, de reforma de la Ley de enjuiciamiento civil, así como en los arts. 14.2 a) de la Ley 39/2015 del procedimiento administrativo común de las administraciones públicas, y 273.3 LEC. Según el auto, el art. 162.2 LEC impone que la comunicación electrónica surte efecto trascurridos tres días desde que fue efectuada sin que el destinatario acceda a su contenido. Concluye que, al constar que la notificación se puso a disposición de las ejecutadas el 21 de junio de 2018, la presentación del escrito de oposición el 27 de agosto de 2018 se produjo fuera del plazo legalmente establecido en el art. 556.1 LEC, esto es más allá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las resoluciones judiciales impugnadas han vulnerado su derecho a la tutela judicial efectiva sin indefensión (art. 24.1 CE), al haberse efectuado su emplazamiento como ejecutada a través de un correo electrónico remitido por un servicio de notificaciones electrónicas y no mediante entrega de la documentación correspondiente en papel en la sede de su domicilio social; y ello pese a que esa comunicación fue el primer emplazamiento en la causa. Además, señala que, en todo caso, siguió las indicaciones que le facilitó la comunicación electrónica, de manera que accedió al contenido de la notificación el último día fijado; fecha que, sin embargo, el órgano judicial ha considerado fuera de plazo, por lo que acordó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insiste en que, por ser una persona jurídica, si bien está obligada a relacionarse con la administración de justicia a través de medios electrónicos, según establece el art. 273 LEC; sin embargo, cuando se trata del primer emplazamiento y, por tanto, todavía no se ha tenido ninguna relación con el juzgado correspondiente en ese concreto procedimiento, la notificación ha de practicarse mediante cédula con entrega en papel de la documentación correspondiente, conforme establece ese mismo artículo, puesto en relación con los arts. 135, 152, 162 y 155 LEC. Este último precepto es categórico al respecto, ya que en su punto primero establece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además, expone que el auto de 22 de enero de 2019 fundamenta su decisión en la Ley del procedimiento administrativo común, norma que es “inaplicable al ámbito procesal civil, puesto que además de existir normas concretas al respecto, no se dan en uno y otro ámbito las mismas garantías procedimentales”. Precisa que en materia de notificación de actos procesales resulta aplicable tanto la Ley de enjuiciamiento civil como el art. 24 CE, que reconoce el derecho a la tutela judicial efectiva. Alega finalmente que se ha producido también una vulneración del derecho a un proceso con todas las garantías (art. 24.2 CE), en las vertientes del derecho a la defensa contradictoria y del derecho a la asistencia letrada, las cuales permiten en todos los órdenes jurisdiccionales evitar desequilibrios en la posición procesal de las partes, sin limitaciones a su defensa que pudieran en caso contrario ocasionar indefensión a alguna de ellas. Afirma también que el auto de 22 de enero de 2019 “huye de este tipo de consideraciones” al aplicar una normativa administrativa ajena al ámbito procesal y prescindir, a su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que se estime el recurso del amparo, acordando la nulidad de las resoluciones judiciales impugnadas y se ordene reponer las actuaciones al momento previo al dictado de la primera de las resoluciones judiciales impugnadas, a fin de que el juzgado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Secretaria de Justicia de la Sección Tercera de este tribunal, por diligencia de ordenación de 4 de julio de 2019, acordó requerir al órgano judicial para que remitiera certificación acreditativa sobre si el auto de 22 de enero de 2019 había sido recurrido por la demandante de amparo. El 16 de julio de 2019 se recibió certificación indicativa de que no fue presentado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25 de noviembre de 2019, acordó admitir a trámite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 y porque puede dar ocasión para aclarar o cambiar su doctrina, como consecuencia de cambios normativos relevantes para la configuración del contenido del derecho fundamental [STC 155/2009, FJ 2 b)]”; dirigir atenta comunicación al órgano judicial para el emplazamiento de quienes hubieran sido parte en el procedimiento para que puedan comparecen en el recurso de amparo; y la formación de la pieza separada de suspensión, que fue resuelta por ATC 3/2020,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Pera Assets Designated Activity Company, representada por la procuradora de los tribunales doña Blanca María Grande Pesquero y bajo la asistencia del letrado don Alejandro Ingram Solís, por escrito registrado el 16 de diciembre de 2019,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6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este tribunal, por providencia de 9 de marzo de 2020, tuvo por personada y parte a la procuradora doña Blanca María Grande Pesquero en la representación acreditada y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25 de junio de 2020, presentó sus alegaciones interesando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exponer la jurisprudencia del Tribunal Constitucional sobre los actos de comunicación procesal, con expresa referencia a las SSTC 6/2019, de 17 de enero, y 47/2019, de 8 de abril, concluye que tanto por haber optado el órgano judicial por la notificación telemática en vez de la personal en el domicilio de la demandada, como por la forma de computar el plazo para formular oposición frente a la ejecución ya despachada, ha resultado infringido el derecho a la tutela judicial sin indefensión de la demandante, ya que, aunque en la regulación procesal conviven las notificaciones personales con las telemáticas, estas últimas mantienen una excepción general cuando se trata del primer emplazamiento. De ese modo, la aplicación conjunta de lo establecido en los arts. 135, 152.2 y 155 LEC debió llevar al órgano judicial a aplicar la última de estas previsiones legales, conforme a la cual “cuando se trata del primer emplazamiento o citación del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recurrente presentó sus alegaciones el 6 de julio de 2020, remitiéndose a lo expuesto en su demanda, haciendo mención adicional a los pronunciamientos de la STC 47/2019, de 8 de abril,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jurisprudencia constitucional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FJ 3, ha abordado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dictada al resolver una cuestión de inconstitucionalidad planteada en relación con el último inciso del artículo 152.2 LEC, y 47/2019, de 8 de abril, FJ 4 a), recaída en proceso de amparo, en relación con la garantía de emplazamiento personal inicial del demandado o ejecutado en los procesos regidos en esta materia por la Ley de enjuiciamiento civil (directa o supletoriamente). En ellas se ha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exigencia de la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se hizo en la STC 40/2020, FJ 4, que las dos resoluciones judiciales impugnadas vulneraron el derecho a la tutela judicial efectiva sin indefensión de la recurrente por no proceder a su emplazamiento personal en el proceso a efectos de requerirla de pago o, alternativamente, permitirle presentar su oposición a la ejecución, sino que, en cambio, el órgano judicial optó por un emplazamiento electrónico a través del servicio de notificaciones electrónicas y dirección electrónica habilitada de la Fábrica Nacional de Moneda y Timbre. Por lo 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de amparo ha de ser estimado en aplicación de la doctrina fijada en las SSTC 47/2019 y 40/2020 y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6 de Lorca, así como de todo lo actuado en el procedimiento de ejecución hipotecaria desde que se proveyó a su emplazamiento a través de la dirección electrónica habilitada, retrotrayendo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19 de septiembre de 2018 y 22 de enero de 2019, dictados por el Juzgado de Primera Instancia e Instrucción núm. 6 de Lorca en el proceso de ejecución hipotecaria núm. 65-2018, así como de las actuaciones realizadas a partir del emplazamiento de la entidad recurrente a través de la dirección electrónica habilitada, en lo que respecta exclusivamente a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demandante de amparo,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