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15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los magistrados, don Alfredo Montoya Melgar y don Cándido Conde-Pumpido Tourón, en el recurso de amparo núm. 183-2020,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enero de 2020, la entidad Euroinversiones Inmobiliarias Costa Sur, S.L., representada por la procuradora de los tribunales doña Blanca Berriatua Horta y bajo la dirección de la letrada Dña. Anju Nirmala Benavent Rodríguez, interpuso recurso de amparo contra los autos de 14 de noviembre de 2018 y de 20 de noviembre de 2019, dictados por el Juzgado de Primera Instancia e Instrucción núm. 4 de Lorca, en el procedimiento de ejecución hipotecaria núm. 364-2018,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364-2018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43.310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26 de junio de 2018 se acordó despachar ejecución frente las sociedades demandadas por la cantidad de 2248,32 € de principal y 674,49 €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3 de julio de 2018. En dicha comunicación se informa que la notificación estará disponible hasta el 18 de agosto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1de septiembre de 2018. Por auto de 14 de noviembre de 2018 se acordó su inadmisión por considerar la pretensión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3 de julio de 2018, sino en la fecha en que accedió a la web y procedió a su descarga, y que la comunicación remitida a través de la dirección electrónica habilitada no puede entenderse más que un aviso de puesta a disposición o descarga de su contenido durante un plazo determinado (en el caso desde el 3 de julio hasta el 18 de agosto de 2018), pues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20 de noviembre de 2019. Según esta resolución, el 3 de julio de 2018 “se materializó la ‘puesta a disposición’ de la notificación correctamente y del propio documento resulta que pasaron más de tres días desde la misma sin que se hubiera accedido al contenido hasta el día 3 de agosto de 2018, por tanto, en aplicación estricta de lo dispuesto en el apartado segundo del art. 162 LEC, sin que se haya justificado por el recurrente una imposibilidad de acceder al sistema en este plazo. Por todo ello debe ser desestimado el recurso interpuesto, al ser el auto recurrido plenamente ajustado a derecho, al inadmitir un escrito que fue presentado fuera de plazo cuando ya había precluido la posibilidad de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 Justifica la especial trascendencia constitucional aludiendo a la novedosa implantación de procesos de notificación por medios electrónicos en el ámbito de la jurisdicción civil en relación con las exigencias procesales derivadas de la regulación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junio de 2020 la Sección Primera de este tribunal acordó no admitir a trámite el recurso de amparo por no apreciar en el mismo la especial trascendencia constitucional que, como condición para su admisión, requiere el art. 50.1.b) Ley Orgánica del Tribunal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con fecha 9 de julio de 2020, interpuso recurso de súplica ex art. 50.3 de la Ley Orgánica del Tribunal Constitucional (LOTC) contra la providencia de 16 de junio de 2020, en el que interesa que se deje sin efecto la providencia indicada, dictándose otra en su lugar admitiendo el recurso de amparo. El Ministerio Fiscal argumenta en su recurso que el contenido de la demanda es idéntico al de otras muchas interpuestas por la misma demandante o por Penrei Inversiones, S.L., contra resoluciones idénticas de diversos juzgados de primera instancia e instrucción de Lorca en que las demandantes son ejecutadas y en los que se alegaba como motivo de especial trascendencia el mismo que el aducido en la presente demanda, siendo tales demandas de amparo admitidas al apreciarse su especial trascendencia constitucional, habiéndose resuelto varios de dichos recursos estimando la demanda y acordado la nulidad de las resoluciones objeto de amparo. Afirma que desde la sentencia del Pleno 40/2020, de 27 de febrero, se han ido sucediendo múltiples pronunciamientos en igual sentido. Indica que existen, con posterioridad a la interposición de la presente demanda, recursos de amparo que han sido admitidos por la Sala Primera y Segunda del Tribunal Constitucional con un contenido sustancialmente idéntico al de la presente demanda, lo que ocasiona una contradicción lesiva de la seguridad jurídica y, sobre todo, en el que la vulneración del derecho alegado podría adquirir una especial intensidad al haberse estimado a fecha de hoy muchas de las admitidas y rechazarse a limine las inadmitidas. Afirma la conveniencia de llegar a una solución común y homogénea de manera que la especial trascendencia constitucional pudiera quedar integrada, ante la particular situación producida en este caso, por la superior defensa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13 de julio de 2020,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formuló alegaciones mediante escrito registrado el 22 de julio de 2019,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Cabe destacar, como expresa el Ministerio Fiscal en su recurso, que la entidad demandante, Euroinversiones Inmobiliarias Costa Sur, S.L., (así como lo ha hecho Penrei Inversiones, S.L.) han interpuesto desde el año 2018, aproximadamente, un centenar de recursos de amparo en relación con las resoluciones dictadas por diversos juzgados de primera instancia e instrucción de Lorca en otros tantos procedimientos de ejecución hipotecaria. En cada uno de ellos, invocando el derecho a la tutela judicial efectiva sin indefensión, han cuestionado el emplazamiento que les fue efectuado a través de su dirección electrónica habilitada. Los motivos alegados por las sociedades recurrentes para sustentar la especial trascendencia constitucional de estos recursos guardan sustancial identidad con el que fue considerado en la originaria STC 47/2019, de 8 de abril [“Boletín Oficial del Estado” (“BOE”) núm. 116, de 15 de mayo de 2019] —en la que se examinó por vez primera como ratio decidendi la validez constitucional del emplazamiento inicial a juicio mediante tal procedimiento electrónico—, así como lo fue en las posteriores SSTC 102/2019, de 16 septiembre; 122/2019, de 28 de octubre; 129/2019, de 11 de noviembre, y 150/2019,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recurso de amparo (que forma parte de la extensa serie de recursos idénticos descrita), fue inadmitido a trámite por providencia de fecha 16 de junio de 2020, tras apreciar la Sección que el mismo no presentaba la especial trascendencia constitucional que, como condición para su admisión requiere el art. 50.1.b) LOTC. Tal apreciación vino fundada en constatar que la presentación de la demanda de amparo fue posterior en el tiempo al 15 de mayo de 2019, fecha de la publicación en el “BOE” de la STC 47/2019, de 8 abril, primera en la que este tribunal abordó la cuestión relativa a la validez de los emplazamientos iniciales practicados a través de la dirección electrónica habilitada, materia que coincide exactamente con el objeto de este recurso de amparo. Con posterioridad a la decisión de inadmisión a trámite impugnada, y antes de formularse el presente recurso de súplica, el Pleno de este tribunal ha adoptado como criterio unificador para la admisibilidad de los recursos de esta serie que es la fecha de publicación en el “BOE” de la STC 40/2020, de 27 de febrero, la que ha de determinar el momento a partir del cual pierden especial trascendencia constitucional las solicitudes de amparo de esta serie coincidentes, en su contenido, con la ya resuelta en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anteriores consideraciones, hemos de destacar que el presente recurso de amparo fue presentado ante este tribunal el 10 de enero de 2020, esto es, dos meses y medio antes de la publicación en el “BOE” de 26 de marzo de la STC 40/2020, de 27 de febrero que, por primera vez, a instancia de una de las dos entidades ejecutadas en el proceso judicial precedente, abordó expresamente la cuestión ahora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en relación específica con las sociedades ejecutadas, en el momento de presentarse la solicitud de amparo no había sido dictada por este tribunal resolución alguna sobre la cuestión planteada. Una vez resuelto el primero de los recursos, hemos de reiterar que es este último el momento procesal que debe tenerse en cuenta para resolver sobre la apreciación de especial trascendencia constitucional en las “series” de recursos, ya sea como cuestión nueva, ya lo sea por apreciar que el recurso puede dar ocasión al tribunal para aclarar o cambiar su doctrina, como consecuencia de cambios normativos relevantes para la configuración del contenido del derecho fundamental [STC 155/2009, FJ 2, b)], según señalan las SSTC 56/2013; 170/2013; 148/2015; 12/2016, y 139/2018, que expresan una doctrina constante.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por tanto, que el recurso de súplica debe ser estimado, en tanto, en el momento de presentarse el recurso de amparo, la demanda se refería a un problema o una faceta de un derecho fundamental sobre el que no existía doctrina específica de este tribunal [STC 155/2009, de 25 de junio, FJ 2, letra a)]; pudiendo apreciarse también que el recurso puede dar ocasión al tribunal para aclarar o cambiar su doctrina, como consecuencia de cambios normativos relevantes para la configuración del contenido del derecho fundamental alegado [STC 155/2009, FJ 2, b)]; en este caso, el recogido en el art. 24.1 CE, en cuanto garantiza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estimar el recurso de súplica interpuesto por el Ministerio Fiscal y dejar sin efecto la providencia de 16 de junio de 2020 impugnada, con el fin de reponer las actuaciones al momento anterior a su dictado, para que se dicte otra que, a tenor de lo hasta ahora razonado, se pronuncie de nuevo sobre la admisibilidad de la presente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16 de junio de 2020 que acordó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 a fin de que se dicte otra que, a tenor de lo expuesto en el fundamento jurídico único de esta resolución, se pronuncie sobre su admisibilidad.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