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18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Andrés Ollero Tassara, don Santiago Martínez-Vares García y la magistrada doña María Luisa Balaguer Callejón, en el recurso de amparo núm. 7506-2019, promovido por la entidad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26 de diciembre de 2019, la entidad Euroinversiones Inmobiliarias Costa Sur, S.L., representada por la procuradora de los tribunales doña Blanca Berriatua Horta y bajo la dirección del letrado don Marcelino Gilabert García, interpuso recurso de amparo contra los autos de 27 de noviembre de 2018 y de 30 de octubre de 2019, dictados por el Juzgado de Primera Instancia e Instrucción núm. 4 de Lorca, en el procedimiento de ejecución hipotecaria núm. 372-2018,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4 de Lorca se sigue procedimiento de ejecución hipotecaria núm. 372-2018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43.317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27 de junio de 2018 se acordó despachar ejecución frente las sociedades demandadas por la cantidad de 8877,50 € de principal y 4510 €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29 de junio de 2018. En dicha comunicación se informa que la notificación estará disponible hasta el 31 de agosto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Penrei Inversiones, S.L., presentó escrito de oposición a la ejecución despachada con fecha 31 de agosto de 2018. Por auto de 27 de noviembre de 2018 se acordó su inadmisión por considerar la pretensión extemporánea, tomando como fecha de notificación el 29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29 de junio de 2018, sino el 3 de agosto,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29 de junio hasta el 31 de agosto de 2018), pues entenderlo de otro modo, además de infringir los arts. 135, 152, 160, y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30 de octubre de 2019. Según esta resolución, la recurrente tiene la condición de persona jurídica y, por tanto, está obligada a relacionarse con la administración de justicia por medios electrónicos. “Así, pese a las alegaciones del recurrente que pretende mantener que el escrito de oposición fue presentado en plazo para ello por entender que el auto despachando la ejecución y el requerimiento efectuado debe entenderse notificado en fecha 3 de agosto de 2018, en la que se accedió efectivamente a las citadas resoluciones, lo cierto es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Ley de enjuiciamiento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junio de 2020 la Sección Primera de este tribunal acordó no admitir a trámite el recurso de amparo por no apreciar en el mismo la especial trascendencia constitucional que, como condición para su admisión, requiere el art. 50.1 b) Ley Orgánica del Tribunal Constitucional (STC 155/2009, de 25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mediante escrito registrado con fecha 23 de julio de 2020, interpuso recurso de súplica ex art. 50.3 de la Ley Orgánica del Tribunal Constitucional (LOTC) contra la providencia de 29 de junio de 2020, —que por error se identifica como “de 16 de junio de 2020”—, en el que interesa que se deje sin efecto la providencia indicada, dictándose otra en su lugar admitiendo el recurso de amparo. El Ministerio Fiscal argumenta en su recurso que el contenido de la demanda es idéntico al de otras muchas interpuestas por la misma demandante o por Euroinversiones Inmobiliarias Costa Sur, S.L., contra resoluciones idénticas de diversos juzgados de primera instancia e instrucción de Lorca en que las demandantes son ejecutadas y en los que se alegaba como motivo de especial trascendencia el mismo que el aducido en la presente demanda, siendo tales demandas de amparo admitidas al apreciarse su especial trascendencia constitucional, habiéndose resuelto varios de dichos recursos estimando la demanda y acordando la nulidad de las resoluciones objeto de amparo. Afirma que desde la sentencia del Pleno 40/2020, de 27 de febrero, se han ido sucediendo múltiples pronunciamientos en igual sentido. Indica que existen, con posterioridad a la interposición de la presente demanda, recursos de amparo que han sido admitidos por las Salas Primera y Segunda del Tribunal Constitucional con un contenido sustancialmente idéntico al de la presente demanda, lo que ocasiona una contradicción lesiva de la seguridad jurídica y, sobre todo, en el que la vulneración del derecho alegado podría adquirir una especial intensidad al haberse estimado a fecha de hoy muchas de las admitidas y rechazarse a limine las inadmitidas. Afirma la conveniencia de llegar a una solución común y homogénea de manera que la especial trascendencia constitucional pudiera quedar integrada, ante la particular situación producida en este caso, por la superior defensa del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29 de julio de 2020, se acordó dar traslado del recurso a la representación del recurrente y concederle un plazo común de tres días a fin de que alegue lo que estime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parte recurrente formuló alegaciones mediante escrito registrado el 10 de agosto de 2020, en el que manifiesta su plena conformidad con el recurso de súplica interpuesto por el Ministerio Fiscal y solicita a este tribunal que dicte una resolución estimatoria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estimar el recurso de súplica interpuesto por el Ministerio Fiscal y dejar sin efecto, en consecuencia la providencia de esta Sección de 15 de junio de 2020 dictándose otra en su lugar por la que se acuerde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recordarse, para dar respuesta a algunos argumentos utilizados por las partes, que como ya se ha afirmado por este tribunal, tras la reforma llevada a cabo por Ley Orgánica 6/2007, de 24 de mayo, la mera lesión de un derecho fundamental o libertad pública tutelable en amparo ya no será por sí sola suficiente para admitir el recurso, pues es imprescindible, además, su especial trascendencia constitucional, frente a la configuración por la que esencialmente se caracterizaba en su anterior regulación, en la que el recurso estaba orientado primordialmente a reparar las lesiones causadas en los derechos fundamentales y libertades públicas del demandante susceptibles de amparo (por todas, STC 208/2015, de 5 de octubre, FJ 5). Por ello, la mera admisión de otros recursos de amparo idénticos al actual, presentados por el recurrente de amparo o por la otra parte ejecutada en los procedimientos de ejecución hipotecaria seguidos ante los juzgados de primera instancia e instrucción de Lorca, e incluso, el hecho de que se hayan dictado numerosas sentencias desde la STC 40/2020, estimando las demandas y reconociendo la existencia de la vulneración del derecho fundamental invocado, no es condición suficiente para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debe indicarse, siguiendo la línea argumental del Ministerio Fiscal, que las mercantiles referidas —Euroinversiones Inmobiliarias Costa Sur, S.L., y Penrei Inversiones, S.L.,— en relación con las resoluciones dictadas por diversos juzgados de primera instancia e instrucción de Lorca, en otros tantos procedimientos de ejecución hipotecaria, han interpuesto desde el año 2018 hasta la fecha, aproximadamente un centenar de recursos de amparo, en los que se cuestionaba desde el prisma del derecho a la tutela judicial efectiva el emplazamiento efectuado mediante la utilización de la dirección electrónica habilitada. Los motivos alegados por las sociedades recurrentes para sustentar la especial trascendencia constitucional guardan sustancial identidad con el que fue considerado en la originaria STC 47/2019, de 8 de abril [“Boletín Oficial del Estado” (“BOE”) núm. 116, de 15 de mayo de 2019] —en la que se examinó por vez primera como ratio decidendi la problemática constitucional del emplazamiento mediante medios electrónicos— y en las posteriores SSTC 102/2019, de 16 septiembre, 122/2019, de 28 de octubre, 129/2019, de 11 de noviembre, y 150/2019, de 25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sentido apuntado por el Ministerio Fiscal, debe destacarse por una parte que no fue hasta que se dicta la STC 40/2020, de 27 de febrero, cuando se consideró aplicable la doctrina constitucional asentada en la STC 47/2019, de 27 de febrero (“BOE” núm. 83, de 26 de marzo de 2019) al primero del centenar de recursos de amparo interpuestos por los ejecutados —en aquél caso por Euroinversiones Inmobiliarias Costa Sur, S.L.—, y desde entonces hasta la fecha se han dictado en relación con las mismas mercantiles las SSTC 70,73 y 75 a 77/2020, de 29 de junio y las SSTC 92 a 94/2020, de 20 de julio, todas ellas estimando recursos de amparo interpuestos con anterioridad a la fecha de interposición del presente, con cita de la STC 40/2020. Y por otra parte, como con acierto indica también el Ministerio Fiscal, con posterioridad a la inadmisión del presente recurso de amparo han sido admitidos diversos recursos —en concreto por providencia de 20 de julio de 2020— los recursos de amparo núms. 7526-2019 y 691-2020 respectivamente, que como puede apreciarse han sido interpuestos con posterioridad a la presentación del presente recurso de amparo (registrado con el núm. 7506-2019), e incluso con anterioridad a dichas fechas —por providencia de 9 de marzo de 2020— fue admitido el recurso de amparo núm. 7505-2019, interpuesto en la misma fecha que el presente.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práctica totalidad de los casos se ha apreciado como motivo de especial trascendencia constitucional (art. 50.1 LOTC), que “el recurso puede dar ocasión al tribunal para aclarar o cambiar su doctrina, como consecuencia de cambios normativos relevantes para la configuración del contenido del derecho fundamental [STC 155/2009, FJ 2, b)]”, sin que pueda afirmarse, al no constar la fecha de interposición del recurso de reposición, que el recurrente de amparo pudiera conocer y en consecuencia hacer valer la doctrina sentada en la STC 47/2019. Desde luego —dada su fecha de publicación—, ni el recurrente ni el órgano judicial pudieron conocer la específica aplicación de dicha doctrina a la serie de recursos de amparo interpuestos por los recurrentes. Tal circunstancia, unida a que la STC 40/2020 todavía no se había dictado ni menos todavía publicado en el “Boletín Oficial del Estado” a la fecha en que se interpuso la presente demanda de amparo dota de especial trascendencia constitucional a este recurso, a falta en ese momento de una doctrina específica, como sostuvimos en otro caso similar en la STC 56/2013, de 11 de marzo, FJ 1. A ello se añade —como se ha indicado— que han sido admitidos apreciando la especial trascendencia constitucional recursos de amparo similares interpuestos con posterioridad al presente. Por todo ello, como hemos adelantado, debe estimarse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estimación del recurso de súplica del Ministerio Fiscal determina que se deje sin efecto la providencia impugnada, y que se dicte otra admitiendo la demanda por concurrir la especial trascendencia constitucional apreciada en otros recursos idénticos al presentado.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recurso de súplica interpuesto por el Ministerio Fiscal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Dejar sin efecto la providencia de 29 de junio de 2020 que declaró la inadmisión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Reponer las actuaciones al momento anterior a dictarse la providencia anulada a fin de que se dicte otra admitiendo el recurso de amparo núm. 7506-2019 al apreciar en el mismo la especial trascendencia constitucional exigida.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