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6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743-2018, promovido por don Félix González Guerrero y doña Josefa Ramos Puertas, en el procedimiento de ejecución hipotecaria núm. 273-2012 del Juzgado de Primera Instancia núm. 3 de Almería,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día 8 de febrero de 2018, don Félix González Guerrero y doña Josefa Ramos Puertas, representados por el procurador de tribunales don Felipe Iracheta Martín y asistidos por el letrado don Alejandro Sánchez Arreondo, interpusieron recurso de amparo frente a la providencia del Juzgado de Primera Instancia núm. 3 de Almería, de fecha 18 de diciembre de 2017, dictada en el procedimiento de ejecución hipotecaria núm. 273-2012, en cuya virtud se inadmitió el escrito de fecha 1 de junio de 2017, en el que, entre otras peticiones, recabaron el control judicial de las cláusulas abusivas del título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los recurrentes invocan la vulneración del derecho a la tutela judicial efectiva sin indefensión (art. 24.1 CE). Fundan esa lesión en la decisión adoptada por el órgano judicial, quien en la providencia impugnada resolvió que “no ha lugar a la admisión a trámite del referido escrito en base a los motivos de nulidad señalados, al haber precluido el trámite para ello una vez dejado pasar el plazo para formular oposición, habiéndose producido, incluso, la subasta del inmueble hipotecado”. Por otrosí, estos últimos solicitan que se adopte la medida cautelar de suspensión de todas las actuaciones futuras en el procedimiento de ejecución hipotecaria ya citado, a fin de evitar que se pueda llevar a cabo el lanzamiento de la vivienda. En apoyo de esa petición invocan la consolidada doctrina de este tribunal que, según indican, aparece reflejada en el ATC 74/2013, de 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15 de junio de 2020, la Sección Tercera de este tribunal acordó admitir a trámite el recurso de amparo, al apreciar que concurre en el mismo una especial transcendencia constitucional [art. 50.1 de la Ley Orgánica del Tribunal Constitucional (LOTC)], como consecuencia de que el órgano judicial pudiera haber incurrido en una negativa manifiesta del deber de acatamiento de la doctrina de este tribunal [STC 155/2009, FJ 2 f)]. Al haber sido remitidas con anterioridad las actuaciones judiciales, solamente se resolvió dirigir comunicación al órgano judicial interviniente, a fin de que, en plazo que no exceda de diez días proceda a emplazar a quienes hubieran sido parte en el proceso del que trae causa el presente recurso, excepto a la parte recurrente en amparo, para que en el indicado plazo de diez días puedan comparecer,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fecha, la Sección Tercera de este tribunal dictó providencia acordando formar pieza para la tramitación del incidente relativo a la suspensión interesada y conceder, conforme a lo dispuesto en el art. 56 LOTC, un plazo común de tres días a los recurrentes y al ministerio fiscal, para que aleguen lo que consideren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Según consta en el testimonio de actuaciones remitido en su día por el órgano judicial, mediante escrito de fecha 11 de junio de 2018, la entidad Buildingcenter, S.A.U., manifestó no tener interés en hacer uso de la facultad prevista en el art. 675 de la Ley de enjuiciamiento civil (LEC) y, a su vez, solicitó que se procediera al archivo del procedimiento del que trae causa el presente recurso de amparo, previo desglose de los documentos aportados con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decreto de fecha 18 de junio de 2018 se acordó declarar terminado el procedimiento de ejecución hipotecaria núm. 273-2012, la devolución de la documentación original aportada y el archivo del referido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demandantes de amparo no han formulado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8 de julio de 2020 presentó sus alegaciones el Ministerio Fiscal. Tras detallar brevemente los antecedentes del presente recurso, procede a sintetizar la doctrina constitucional relativa a la suspensión cautelar regulada en el art. 56 LOTC, poniendo de relieve el carácter excepcional de esa medida y que su concesión está asociada a evitar que se causaran prejuicios de imposible o muy difícil reparación, que puedan privar de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presente supuesto, afirma que la petición de suspensión del procedimiento ejecutivo “no parece muy fundamentada por los propios recurrentes, ya que se limita a la mera petición sin explicitar ninguna razón salvo la mera pérdida de finalidad del recurso en el caso de que llegara a celebrarse la subasta de los bienes inmuebles en conflicto y su adjudicación a un tercero que actuaría de buena fe. Acordar la suspensión solicitada comportaría la drástica medida que supondría la paralización del procedimiento ejecutivo, que por su propia naturaleza goza de las características de celeridad y sumariedad”.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fiscal estima procedente acordar la anotación preventiva de demanda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queda especialmente protegido por su buena fe en la adquisición. Luego, tras exponer resumidamente la doctrina constitucional respecto de la anotación preventiva de demanda y su encaje en el art. 56.3 LOTC, colige que en el presente caso “nos encontramos en uno de esos supuestos en que tratándose de un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recurso de amparo se interpone contra la providencia de 18 de diciembre de 2017, en cuya virtud se inadmitió el incidente de nulidad de actuaciones formulado por los demandantes, en el que recabaron el control judicial de las cláusulas abusivas del título de ejecución. Asimismo, interesaron la medida cautelar de suspensión de todas las actuaciones futuras en el procedimiento de ejecución hipotecaria ya citado, a fin de evitar que, con posterioridad, se pueda llevar a cabo el lanzamiento del inmueble que ocupan.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Ahora bien, reiteradamente este tribunal ha sostenido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(entre otros, AATC 160/2017, de 21 de noviembre, FJ 2; 88/2018, de 17 de septiembre, FJ 3, y 84/2019, de 15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los demandantes fundan la solicitud de suspensión cautelar en el hecho de que, en un futuro, puedan ser lanzados del inmueble que ocupan. Sin embargo, el desalojo a que se refieren no está previsto que se materialice en una fecha próxima o, al menos, determinada. Es más, no parece probable que tal eventualidad pueda producirse en el seno del procedimiento de ejecución hipotecaria del que deriva el presente recurso, habida cuenta de que, como así se ha reflejado en los antecedentes de esta resolución, el indicado procedimiento se ha archivado sin que se haya interesado el lanzamiento de los demandantes. Por ello, la mera invocación de un recelo o temor o, todo lo más, de un perjuicio hipotético y futuro, no justifica la adopción de la medida cautelar que los recurrentes interesaron en el escrito de demanda, por lo que esta debe ser desestimada; sin perjuicio de que la denegación de la medida cautelar pueda ser modificada en un futuro, por la concurrencia de las circunstancias a que se refiere 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el Tribunal entiende que las circunstancias que presenta el supuesto sometido a consideración justifican la adopción de la medida cautelar de anotación preventiva de la demanda de amparo en el registro de la propiedad, en cuanto se reputa medida suficiente e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de conformidad con la doctrina expuesta y sin prejuzgar la decisión de fondo del recurso, conducen a denegar la suspensión solicitada y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273-2012 seguido en el Juzgado de Primera Instancia núm. 3 de Almería.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