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695-2020,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septiembre de 2020, el fiscal ante el Tribunal Constitucional interpuso recurso de súplica contra la providencia de 6 de julio de 2020, en la que se decidió la inadmisión a trámite del recurso de amparo núm. 695-2020, interpuesto por Euroinversiones Inmobiliarias Costa Sur, S.L., contra los autos de 15 de noviembre de 2018 y de 12 de diciembre de 2019, dictados por el Juzgado de Primera Instancia e Instrucción núm. 4 de Lorca, en el procedimiento de ejecución hipotecaria núm. 369-2018.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369-2018,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43.323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las sociedades demandadas por la cantidad de 180 193,46 € de principal y 28 850 €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26 de junio de 2018. En dicha comunicación se informa que la notificación estará disponible hasta el 11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29 de agosto de 2018. Por auto de 15 de noviembre de 2018 se acordó su inadmisión por considerar la pretensión extemporánea, tomando como fecha de notificación el 25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25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además de infringir los arts. 135, 152, 160, y 162 de la Ley de enjuiciamiento civil (LEC), vulnera el art. 24 CE. Tras su tramitación el recurso de reposición fue desestimado por auto de 12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registrado en este tribunal el 3 de febrero de 2020, la entidad Euroinversiones Inmobiliarias Costa Sur, S.L., representada por la procuradora de los tribunales doña Blanca Berriatua Horta y bajo la dirección del letrado don Marcelino Gilabert García, interpuso recurso de amparo contra los autos de 15 de noviembre de 2018 y de 12 de diciembre de 2019, dictados por el Juzgado de Primera Instancia e Instrucción núm. 4 de Lorca. La demandante de amparo se queja en su recurso de la vulneración de su derecho a la tutela judicial efectiva sin indefensión (art. 24.1 CE) en su vertiente de acceso al proceso. Por medio de otrosí, solicitó la suspensión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la admisión a trámite de numerosos recursos de amparo de contenido idéntico o muy similar, la Sección Segunda del Tribunal Constitucional apreció que la resolución de la presente demanda de amparo no revestía especial trascendencia constitucional [art. 50.1 b) LOTC]. Mediante providencia de 6 de julio de 2020, la sección acordó no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interpuso recurso de súplica ex art. 50.3 LOTC contra la providencia de 6 de julio de 2020, interesando que se dejara esta sin efecto,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 de septiembre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10 de septiembre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procede estimar el recurso de súplica interpuesto y dejar sin efecto, en consecuencia, la providencia de esta sección de 6 de julio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siguiendo el argumento del Ministerio Fiscal, al dictarse la providencia de inadmisión, otras secciones de este tribunal estaban admitiendo a trámite demandas idénticas a la actual apreciando la concurrencia de la causa de especial trascendencia a la que ya nos hemos referido [la señalada en la STC 155/2009, FJ 2 a)], y de una eventual futura estimación de estas demandas se derivaría una contradicción lesiva de la seguridad jurídica de la mercantil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razones de economía procesal pueden aconsejar que, tras examinar nuevamente la demanda de amparo, la sección acuerde su admisión (ATC 239/2014, de 10 de octubre) en el propio auto estimatorio del recurso de súplica. En este caso, examinada nuevamente la demanda de amparo, procede acordar su 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6 de julio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núm. 695-2020 interpuesto por Euroinversiones Inmobiliarias Costa Sur, S.L.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3ª Formar la pieza separada para la tramitación del incidente de suspensión, concediendo plazo común de tres días a la parte recurrente y al Ministerio Fiscal para que aleguen lo que estimen oportuno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