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30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3541-2019, promovido por Penrei Inversiones, S.L., contra el auto del Juzgado de Primera Instancia e Instrucción núm. 5 de Lorca, de 23 de abril de 2019, que desestimó el recurso de reposición interpuesto contra el auto, también impugnado, de fecha 21 de septiembre de 2018, por el que se inadmitió por extemporánea la demanda de oposición a la ejecución formulada por dicha mercantil en el procedimiento de ejecución hipotecaria núm. 382-2018,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junio de 2019, la procuradora de los tribunales doña Blanca Berriatua Horta, actuando en nombre y representación de Penrei Inversiones,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 ahora recurrente de amparo, en su calidad de titular del derecho de uso sobre la finca registral 43.431, inscrita en el Registro de la Propiedad núm. 3 de Lorca. Incoado procedimiento de ejecución hipotecaria (núm. 382-2018), mediante auto de fecha 8 de junio de 2018, el Juzgado de Primera Instancia e Instrucción núm. 5 de Lorca (en adelante, el juzgado) ordenó la ejecución del título hipotecario, despachó ejecución contra otra entidad y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no cabe recurso alguno, sin perjuicio de que la parte ejecutada pueda oponerse al despacho de ejecución en los términos previstos en el artículo 695 de la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notificación se produjo a través del servicio de notificaciones electrónicas de la Fábrica Nacional de Moneda y Timbre. Más en concreto, el servicio remitió el 13 de junio de 2018 un correo electrónico en el que señalaba como asunto “Juzgados y Tribunales – Aviso de Notificación para el NIF B73836173”, dirigida a Penrei Inversiones, S.L. – NIF B73836173. Según el texto del correo, la notificación venía referida al asunto “JDO. 1 INST. E INSTR. N 5 DE LORCA EJH/0000382/2018”, indicándole que la “notificación estará disponible en su dirección electrónica habilitada única desde el 13-06-2018 hasta el 29-07-2018. Si no procediera a su lectura en el plazo indicado se producirán los efectos correspondientes, según la normativa aplicable”. Más adelante se añadía que “independientemente del tiempo que tenga a su disposición el acto de comunicación, transcurridos tres días hábiles desde su puesta a su disposición sin que el destinatario haya accedido a su contenido, se entenderá que la comunicación ha sido efectuada legalmente desplegando todos sus efectos, conforme con lo establecido en el art. 162.2 de la LEC”, para finalizar señalando que este “aviso conforme a lo dispuesto en el art. 25 del RD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5b21627144e24, que fue puesta a disposición del destinatario el 13 de junio de 2018 y que la fecha de aceptación fue el 24 de julio de 2018, figurando como certificado digital receptor el correspondiente a don José Luis Reverte,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escrito presentado ante el juzgado el día 31 de julio de 2018, la demandante de amparo compareció en el procedimiento, formulando oposición a la ejecución,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21 de septiembre de 2018, el juzgado dictó un auto por el que se acordó: “Inadmitir a trámite la oposición formulada por la parte ejecutada […] Penrei Inversiones, S.L., […] por presentación fuera de plazo, contra Banco Sabadell, S.A.”, advirtiendo en pie de recurso que contra dicha resolución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 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reposición, el juzgado dictó un nuevo auto el 23 de abril de 2019, por el que se desestimó el recurso, conforme a los motivos expuestos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los recurrentes interpretan de forma errónea la normativa aplicable, se citan los arts. 162.2 de la Ley de enjuiciamiento civil (LEC); 33.2 y 34 de la Ley 18/2011, de 5 de julio; 11.2 del Real Decreto 1065/2015, de 27 de noviembre; y el acuerdo no jurisdiccional del Pleno de la Sala Cuarta del Tribunal Supremo de 6 de julio de 2016, para concluir afirmando la “validez [de]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el presente caso, consta que la notificación se puso a disposición de las recurrentes en fecha 13/06/18 no accediendo al contenido hasta el día 24/07/18 […], presentando los escritos de oposición a la ejecución en fecha 31/07/18,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26 de abril de 2019 y, junto con el auto de 21 de septiembre de 2018, es el objeto del presente recurso interpuesto por la citada entidad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aquella “no ha tenido ninguna relación con el juzgado correspondiente en este especial y concreto procedimiento”, ha de practicarse mediante cédula con entrega en papel de la documentación correspondiente, conforme establece el art. 273 LEC,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 Pese a todo esto, el auto dictado por el juzgado el 21 de septiembre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23 de abril de 2019, se rechaza por la recurrente que haya fundamentado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de este tribunal sobre la relevancia de los actos de comunicación procesal desde la perspectiva del derecho a la tutela judicial efectiva (entre otras, SSTC 115/1988, 195/1990 y 326/1993), finaliza solicitando que, con estimación del amparo, se acuerde la nulidad de los autos de 21 de septiembre de 2018 y de 23 de abril de 2019, “reconociendo el derecho individual de Penrei Inversiones, S.L., a obtener una resolución con respeto al derecho a la tutela judicial efectiva, y la nulidad de actuaciones y reposición de todo al momento previo a dictarse el auto de fecha 21 de septiembre de 2018, para que resuelva conforme a Derecho, admitiendo a trámite la demanda de oposición al despacho de ejecución”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derivadas de los pronunciamientos judiciales que han sido objeto de impugnación, con la celebración de subasta y la eventual adjudicación a terceros, pueden hacer perder al recurso de amparo su finalidad”, por lo que se solicitó “la suspensión de la continuación del procedimiento de ejecución hipotecaria 382-2018 seguido ante el Juzgado de Primera Instancia e Instrucción núm. 5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25 de noviembre de 2019 por la que acordó: (i)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porque el recurso puede dar ocasión al tribunal para aclarar o cambiar su doctrina, como consecuencia de cambios normativos relevantes para la configuración del contenido del derecho fundamental [STC 155/2009, FJ 2 b)]”; (ii) dirigir atenta comunicación al Juzgado de Primera Instancia e Instrucción núm. 5 de Lorca, a fin de que proceda a “emplazar a quienes hubieran sido parte en el procedimiento” de origen, excepto a la “recurrente en amparo”, para poder comparecer en el presente proceso constitucional en el plazo de diez días; y (iii)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fue cumplimentado por la parte recurrente, mediante escrito de fecha 3 de diciembre de 2019, en el que se ratificó en su petición inicial. Por su parte, el Ministerio Fiscal presentó informe en fecha 10 de diciembre de 2019,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ATC 7/2020, de 27 de enero, dictado por la Sala Segunda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16 de diciembre de 2019, la procuradora de los tribunales doña María Claudia Munteanu, actuando en nombre y representación de la entidad Pera Assets Designated Activity Company, bajo la dirección letrada de don Alejandro Ingram Solís, solicitó que se le tuviera por personada en este recurso, en su condición de adquirente de los créditos hipotecarios que anteriormente eran de la titularidad de la entidad Banco de Sabadell, S.A. Estos créditos le habían sido cedidos por esta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octubre de 2020, la Secretaría de Justicia de la Sala Segunda de este tribunal dictó diligencia de ordenación por la que se acordó, de un lado, tener por personado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6 de noviembre de 2020.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por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16 de noviembre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5 de Lorca, en el juicio de ejecución hipotecaria 382-2018”, además de la consiguiente retroacción de las actuaciones al momento inmediatamente anterior a aquella notificación, “para que se le dé al recurrente posibilidad de formular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nos encontramos ante el mismo supuesto fáctico y jurídico que ya fue resuelto en sentido estimatorio mediante las SSTC 40/2020, de 27 de febrero, y 43/2020, de 9 de marzo, cuyo contenido extracta.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los arts. 155.1 y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17 de noviembre de 2020,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26 de noviembre de 2020,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los recursos de reposición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5 de Lorca, de 21 de septiembre de 2018 y de 23 de abril de 2019, dictados en el proceso hipotecario núm. 382-2018.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este.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dos resoluciones judiciales impugnadas vulneraron el derecho a la tutela judicial efectiva de la recurrente, al no proceder a su emplazamiento personal en el proceso a quo a efectos de requerirle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21 de septiembre de 2018 y de 23 de abril de 2019, dictados por el Juzgado de Primera Instancia e Instrucción núm. 5 de Lorca en el proceso de ejecución hipotecaria núm. 382-2018, así como la nulidad de las actuaciones realizadas a partir del auto de 8 de junio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ejecutada,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