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4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7580-2019, promovido por don Hugo Martín Francisco Ravanelli,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diciembre de 2019, don Hugo Martín Francisco Ravanelli, representado por el procurador de los tribunales don José Noguera Chaparro, bajo la dirección de la letrada doña Susana Beatriz Natale Romasco, interpuso recurso de amparo contra el auto del Juzgado de Primera Instancia núm. 4 de Gavá de 14 de noviembre de 2019, pronunciado en el procedimiento de ejecución de títulos no judiciales núm. 172-2015.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el recurrente solicita la suspensión del procedimiento de ejecución que se dirige contra él de manera solidaria como avalista de una póliza de crédito, señalando que “desde el inicio de esta ejecución se han dictado órdenes de anotación preventiva de embargo contra la finca que constituye su vivienda habitual, como así también ha sido incluido en ficheros de morosos impidiendo su acceso al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17 de septiembre de 2020,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 los recurrentes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14 de octubre de 2020, presentó alegaciones interesando que se proceda a la anotación preventiva de la demanda en protección frente a eventuales terceros adquirentes de buena fe que hicieran irreivindicable el bien inmueble ya adjudicado a la parte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1 de octubre de 2020, presentó alegaciones insistiendo en que se le está causando un perjuicio irreparable por haberse acordado ya la anotación preventiva de embargo por diligencia de ordenación de 16 enero de 2019 sobre el inmueble que constituye su vivienda habitual y porque desde un primer momento se ha visto privado del acceso al crédito por su inclusión en un fichero de morosos.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el demandante en amparo consistente en que se suspenda el procedimiento de ejecución de títulos no judiciales en la medida en que ya se ha acordado la anotación preventiva de embargo sobre un inmueble de su titularidad que constituye su domicilio habitual y porque ha existido una anotación en un registro de impagados.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de la Ley Orgánica del Tribunal Constitucional (LOTC) dispone que la interposición de un recurso de amparo no suspenderá los efectos del acto o sentencia impugnados y el art. 56.2 LOTC concreta que podrá acordarse la suspensión cuando su ejecución “produzca un perjuicio al recurrente que pudiera hacer perder al amparo su finalidad”. Se establece como limitación a esta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establecido de manera reiterada en interpretación de este precepto que (i)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(ii) la acreditación del perjuicio es carga del recurrente, quien debe precisar los concretos perjuicios que de la ejecución se deriven, así como justificar o argumentar razonadamente la irreparabilidad de los mismos; el perjuicio irreparable debe ser real, sin que sea posible alegar un perjuicio futuro o hipotético o un simple temor; y la pérdida de la finalidad del amparo no puede equipararse a la mayor o menor dificultad, molestia o incomodidad para el recurrente; y (iii) en lo que se refiere a la ejecución de los pronunciamientos con efectos fundamentalmente patrimoniales o de contenido económico, este Tribunal ha consagrado que, con carácter general, ni causan un perjuicio irreparable al obligado al pago, ni pueden hacer perder al amparo su finalidad, al ser posible la restitución íntegra de lo ejecutado (así, por ejemplo, ATC 97/2019, de 16 de septiembre, FJ 1). A estos efectos, este tribunal ha reiterado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 (así, entre los últimas, AATC 21/2018, de 5 de marzo, FJ 3, o 58/2018,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suspensión que se solicita es de exclusivo carácter económico, ya que lo es en relación con un procedimiento de ejecución de títulos no judiciales, en que se ha acordado el embargo en cuanto al 100 por 100 de pleno dominio con carácter ganancial y también se alegan los eventuales daños patrimoniales derivados de la inclusión en un registro de impagados; este aspecto no está debidamente acreditado. En estas circunstancias, si bien el embargo ha sido acordado sobre un bien que constituye el domicilio particular del recurrente, el hecho de que se trate de un embargo que no alcanza a la totalidad del bien por su carácter ganancial y que no se haya acordado su subasta sino una mera anotación preventiva de embargo, pone de manifiesto que no existe un riesgo inminente respecto de la transmisión de su dominio que pudiera consolidar una posición jurídicamente inatacable o de muy difícil y costoso restablecimiento. De ese modo, tal como también informa el Ministerio Fiscal, el tribunal considera que lo procedente es acordar la medida cautelar de anotación preventiva de la demanda de amparo en el registro de la propiedad, al ser una medida idónea para evitar el eventual perjuicio derivado de que la adquisición del bien por tercero lo hiciera irreivindicable, lo que es una solución acogida recientemente, entre otros, en los AATC 106/2017, de 17 de julio, FJ 3; 88/2018, de 17 de septiembre, FJ 5; 2/2019, de 9 de enero, FJ 4; y 85/2019, de 15 de julio, a propósito de otros procedimientos ejecutivos.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decisión queda limitada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se deniega la suspensión solicitada por tener un exclusivo contenido económico tanto la anotación de embargo como la supuesta inclusión de la deuda del recurrente en un registro de impagados no susceptibles en este momento de generar perjuicios irreparables, pero se acuerda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de títulos no judiciales núm. 172-2015 seguido en el Juzgado de Primera Instancia núm. 4 de Gavá.</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