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141</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16 de noviembre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y don Cándido Conde-Pumpido Tourón, y la magistrada doña María Luisa Balaguer Callejón, en el recurso de amparo núm. 7506-2019, promovido por la entidad Euroinversiones Inmobiliarias Costa Sur, S.L., en autos del Juzgado de Primera Instancia e Instrucción núm. 4 de Lorca,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26 de diciembre de 2019, la entidad Euroinversiones Inmobiliarias Costa Sur, S.L., representada por la procuradora de los tribunales doña Blanca Berriatua Horta y bajo la dirección del letrado don Marcelino Gilabert García, interpuso recurso de amparo contra los autos de 27 de noviembre de 2018 y de 30 de octubre de 2019, dictados por el Juzgado de Primera Instancia e Instrucción núm. 4 de Lorca, en el procedimiento de ejecución hipotecaria núm. 372-2018, por los que, respectivamente, se inadmite por extemporánea la demanda de oposición formulada y se confirma esta última decisión, tras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según se recogen en la demanda y en la documentación aportada,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4 de Lorca se sigue procedimiento de ejecución hipotecaria núm. 372-2018 promovido por la entidad Banco de Sabadell, S.A., frente a las sociedades Euroinversiones Inmobiliarias Costa Sur, S.L., en calidad de prestataria e hipotecante, y Penrei Inversiones, S.L., en calidad de titular registral de un derecho de uso y disfrute sobre el inmueble hipotecado, la finca registral 43317 del Registro de la Propiedad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27 de junio de 2018 se acordó despachar ejecución frente las sociedades demandadas por la cantidad de 8877,50 € de principal y 4510 € como intereses y costas presupuestados. El servicio de notificaciones de la Fábrica Nacional de Moneda y Timbre remitió a la demandante de amparo, a través de la dirección electrónica habilitada, un aviso de notificación del citado auto que le fue comunicado por dicho medio el 29 de junio de 2018. En dicha comunicación se informa que la notificación estará disponible hasta el 31 de agosto del mismo año, accediendo la recurrente de amparo efectivamente a la página web y a la notificación dentro del plazo en que la misma se encontraba disponible.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legal de Penrei Inversiones, S.L., presentó escrito de oposición a la ejecución despachada con fecha 31 de agosto de 2018. Por auto de 27 de noviembre de 2018 se acordó su inadmisión por considerar la pretensión extemporánea, tomando como fecha de notificación el 29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29 de junio de 2018, sino el 3 de agosto, la fecha en que accedió a la web y procedió a su descarga, y que la comunicación remitida a través de la dirección electrónica habilitada no puede entenderse más que un aviso de puesta a disposición o descarga de su contenido durante un plazo determinado (en el caso desde el 29 de junio hasta el 31 de agosto de 2018), pues entenderlo de otro modo, además de infringir los arts. 135, 152, 160,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de reposición fue desestimado por auto de 30 de octubre de 2019. Según esta resolución, la recurrente tiene la condición de persona jurídica y, por tanto, está obligada a relacionarse con la administración de justicia por medios electrónicos. “Así, pese a las alegaciones del recurrente que pretende mantener que el escrito de oposición fue presentado en plazo para ello por entender que el auto despachando la ejecución y el requerimiento efectuado debe entenderse notificado en fecha 3 de agosto de 2018, en la que se accedió efectivamente a las citadas resoluciones, lo cierto es que debe tenerse en cuenta la fecha en la que efectivamente tuvo la parte posibilidad de acceder a las mismas, de lo contrario se estaría dejando al arbitrio de las partes obligadas a utilizar el sistema electrónico de comunicaciones el cumplimiento de los plazos procesales dispuesto en la normativa”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con la interpretación ofrecida en el auto objeto de impugnación, el juzgado “no ha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intérprete, obligándole a promover la defensa mediante la correspondiente contradicción, tal y como reconoce la sentencia 37/1984 del Tribunal Constitucional”. Justifica la especial trascendencia constitucional aludiendo a la novedosa implantación de procesos de notificación por medios electrónicos en el ámbito de la jurisdicción civil en relación con las exigencias procesales derivadas de la regulación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segundo otrosí la suspensión de la continuación del procedimiento de ejecución hipotecaria alegando que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junio de 2020 la Sección Segunda de este tribunal acordó no admitir a trámite el recurso de amparo por no apreciar en el mismo la especial trascendencia constitucional que, como condición para su admisión, requiere el art. 50.1 b) de la Ley Orgánica del Tribunal Constitucional (LOTC) (STC 155/2009, de 25 de junio, FJ 2). Dicha providencia se dejó sin efecto en virtud del auto de 18 de septiembre de 2020 que estimó el recurso de súplica interpuesto contra la misma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sendas providencias de 21 de septiembre de 2020 la Sección Segunda de este tribunal acordó admitir a trámite el recurso de amparo y dirigir comunicación al Juzgado de Primera Instancia e Instrucción núm. 4 de Lorca, a fin de que, en plazo que no exceda de diez días, remitiera certificación o fotocopia adverada de las actuaciones correspondientes a los autos de ejecución hipotecaria y emplazara por el mismo plazo a quienes hubieran sido parte en el proceso del que trae causa el presente recurso de amparo; por otra parte se acordaba formar pieza separada para la tramitación de la suspensión del procedimiento de ejecución hipotecaria solicitada en el recurso y conceder plazo común de tres días al Ministerio Fiscal y al solicitante de amparo de conformidad con lo prevenido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7 de octubre de 2020 la parte demandante formuló sus alegaciones, reiterando lo expuesto en el otrosí de su demanda y trascribiendo como fundamento de su pretensión lo expresado en parte de los AATC 21/2018, de 5 de marzo, 58/2018, de 4 de junio y 117/2018, de 29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22 de octubre de 2020, el Ministerio Fiscal se opuso a la pretendida suspensión del procedimiento de ejecución hipotecaria, e interesó que, alternativamente, se acuerde la anotación preventiva de la demanda de amparo en el registro de la propiedad, aunque esta última medida no haya sido solicitada en el recurso. Tras exponer la doctrina de este Tribunal sobre suspensión de resoluciones y actos impugnados, aduce que en el presente caso la petición del demandante no parece muy fundada, sostiene que acordar la suspensión comportaría la paralización del procedimiento ejecutivo, que por su propia naturaleza goza de las características de celeridad y sumariedad. Considera mucho más eficaz la anotación preventiva de la demanda en el registro de la propiedad, pues a través de dicha medida cautelar es posible evitar que un hipotético tercer adquirente del inmueble hipotecado, en virtud de su buena fe registral, quede especialmente protegido, perjudicando así los intereses concernidos.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suspensión cautelar instada por la parte recurrente en amparo y dirigida frente al procedimiento de ejecución hipotecaria núm. 372-2018, seguido en el Juzgado de Primera Instancia e Instrucción núm. 4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la pretensión cautelar analizada se configura como una medida de carácter excepcional y de aplicación restrictiva (por todos, AATC 117/2015, de 6 de julio, FJ 1; 59/2017, de 24 de abril, FJ 1, y 177/2019, de 16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FJ 1; 147/2017, de 13 de noviembre, FJ 1, y 177/2019,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282/2014, de 17 de noviembre, FJ 4; 59/2015, de 16 de marzo, FJ 2, y 177/2019,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a la que se ha hecho mención permite concluir, de acuerdo con lo solicitado por el Ministerio Fiscal, que resulta improcedente la suspensión solicitada del procedimiento de ejecución hipotecaria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igual que en procesos de amparo precedentes (AATC 81/2019, de 15 de julio; 148/2019, 155/2019 y 156/2019, de 25 de noviembre, FJ 3, y 170/2019, 171/2019, 173/2019, 174/2019 y 177/2019 de 16 de diciembre, FJ 3), 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De las actuaciones judiciales que han sido remitidas por el juzgado se desprende que al solicitarse el amparo el procedimiento se encontraba en la fase inicial, una vez rechazada la oposición a la ejecución. En tales circunstancias no es posible afirmar que la continuación del curso del procedimiento judicial, incluso si se produjera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como se anticipó, se reputa medida suficiente e idónea para evitar el perjuicio derivado de que la adquisición del bien por tercero lo haga irreivindicable. Esta misma ha sido la solución acogida recientemente, entre otros, en los AATC 148/2019, 155/2019 y 156/2019, FJ 3, y 170/2019, 171/2019, 173/2019, 174/2019 y 177/2019,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hicimos en el fundamento tercero de los mencionados autos, 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372-2018, seguido en el Juzgado de Primera Instancia e Instrucción núm. 4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