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30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en el recurso de amparo núm. 7132-2019,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diciembre de 2019, tuvo entrada en el registro general de este Tribunal Constitucional un escrito de la procuradora doña Blanca Berriatua Horta, en representación de la entidad Euroinversiones Inmobiliarias Costa Sur, S.L., por el que interpuso recurso de amparo contra el auto de 15 de noviembre de 2018 del Juzgado de Primera Instancia e Instrucción núm. 4 de Lorca, que inadmitió el escrito de oposición a la ejecución hipotecaria promovida por Banco de Sabadell, S.A., y contra el auto del mismo juzgado, de 24 de octubre de 2019,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15 de noviembre de 2018, el juzgado de primera instancia e instrucción ya indicado dictó un auto en el procedimiento de ejecución hipotecaria núm. 368-2018 por el que acordó: “Inadmitir a trámite la oposición formulada por la parte ejecutada Euroinversiones Inmobiliarias Costa Sur, S.L., […] por estar presentada fuera de plazo”,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establece en el artículo 134 de la LEC, la improrrogabilidad de los plazos establecidos en la misma, y en el artículo 136 de la LEC, que transcurrido o pasado el término señalado para la realización de un acto procesal de parte se producirá la preclusión y se perderá la oportunidad de realizar el acto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Establece el artículo 695 de la LEC, que la parte ejecutada pueda oponerse al despacho de ejecución en los términos previstos en dicho artículo y en el plazo de diez días a contar desde el siguiente a la notificación del auto y del decreto. Constando en el presente supuesto que la parte ejecutada se ha opuesto una vez transcurrido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24 de octubre de 2019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Debe ser desestimado el recurso de reposición interpuesto por ser el auto por recurrido conforme a la normativa procesal vigente en materia de oposición a la ejecución (artículos 556.1 LEC y concordantes) y de actos de comunicación. Así, pese a las alegaciones del recurrente que pretende mantener que el escrito de oposición fue presentado en plazo para ello por entender que el auto despachando la ejecución y el requerimiento efectuado deben entenderse notificados en fecha 3 de agosto de 2018, en la que se accedió efectivamente a las citadas resoluciones, lo cierto es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artículos citados como infringidos por la parte recurrente (arts. 135, 152, 162 y 273 y siguientes de la LEC) han sido perfectamente respetados en el presente procedimiento. La propia parte recurrente afirma estar obligada a utilizar los medios electrónicos en sus comunicaciones con el juzgado y afirma que la notificación se remitió a la dirección de correo electrónico ‘habilitada’ del titular a las que se refiere el art. 162 de la LEC, que tiene carácter de norma especial, destinada a regular los actos de comunicación por medios electrónicos o similares. No existiendo discusión ni duda acerca de la aplicabilidad de dicho precepto, al reconocer la propia recurrente la obligatoriedad en el uso de dichos medios en las relaciones con la Administración de Justicia, se llega a la conclusión de que lo dispuesto en el mismo es claro y ha sido respetado. Del propio documento núm. 1 aportado con el escrito interponiendo recurso de reposición y de las propias alegaciones vertidas por la recurrente, resulta la correcta recepción de la notificación en fecha 27/06/2018, fecha en la que se materializó la ‘puesta a disposición’ de la notificación correctamente y del propio documento resulta que pasaron más de tres días desde la misma sin que se hubiera accedido al contenido hasta el día 3 de agosto de 2018, por tanto, en aplicación estricta de lo dispuesto en el apartado segundo del art. 162 de la LEC, sin que se haya justificado por el recurrente una imposibilidad de acceder al sistema en este plazo. Por todo ello debe ser desestimado el recurso interpuesto, al ser el auto recurrido plenamente ajustado a Derecho, al inadmitir un escrito que fue presentado fuera de plazo cuando ya había precluido la posibilidad de hacerlo”.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“Contra este auto no cabe recurso alguno, sin perjuicio de reproducir la cuestión objeto de la reposición al recurrir, si fuera posible, la resolución definitiva (artículo 454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al ser una persona jurídica, viene por ello obligada a relacionarse con la administración de justicia a través de medios electrónicos, no obstante cuando es el primer emplazamiento y por tanto todavía aquella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21 de septiembre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es importante hacer mención a la “recientísima sentencia del Tribunal Constitucional STC 47/2019, de 8 de abril de 2019, que no solo confirma todo lo dicho hasta ahora en el presente recurso de amparo, sino que lo refuerza, en el sentido de que en modo alguno debe entenderse que, tratándose del emplazamiento, este no se efectúe en el domicilio como impone el artículo 155.1 de la Ley de enjuiciamiento civil”, sin que a ello obste la argumentación dada por el auto que inadmite la oposición; pasando a reproducir pasajes de los fundamentos jurídicos 2 a 5 de dicha STC 47/2019.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 24 de octubre de 2019 que desestimó la reposición, se rechaza por la recurrente que los preceptos citados por el juzgado fundamenten su decisión, en cuanto “no es menos cierto que, en ningún precepto de la Ley de enjuiciamiento civil se diga que al proceso civil se le aplican las normas del proceso administrativo, ni existe ningún precepto en ninguna otra norma que otorgue a la normativa del proceso administrativo el mismo rango o aplicabilidad que puedan tener la norma procesal civil, la penal, la contencioso-administrativa o la social, que disponen de regulación específica a través de normas concretas, puesto que, mientras la administrativa regula un tipo de procedimiento específico, las otras hacen referencia a procesos que se plantean ante Tribunales de Justicia, que aunque forman parte de la ‘administración’, tienen su normativa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aquellas, a fin de que el juzgado a quo admita a trámite la oposición al despacho de ejecución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 hacer perder al recurso de amparo su finalidad”, por lo que solicita “la suspensión de la continuación del procedimiento de ejecución hipotecaria 368-2018 seguido ante el Juzgado de Primera Instancia e Instrucción número 4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 Secretaría de Justicia de la Sección Cuarta, Sala Segunda, de este Tribunal Constitucional, se solicitó al juzgado a quo la remisión de certificación o fotocopia adverada de las actuaciones correspondientes del procedimiento de ejecución hipotecaria núm. 368-2018.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dictó providencia el 4 de noviembre de 2020 del siguiente tenor: “La Sección Cuarta, ha examinado el recurso de amparo y ha acordado admitirlo a trámite, apreciando que concurre en el mismo una especial trascendencia constitucional (art. 50.1 LOTC) por los siguientes motivos: 1.- El recurso plantea un problema o afecta a una faceta de un derecho fundamental sobre el que no hay doctrina de este tribunal [STC 155/2009, FJ 2 a)]. 2.-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habiéndose interesado anteriormente la remisión de copia testimoniada de la ejecución hipotecaria 368-2018, en aplicación de lo dispuesto en el artículo 51 de la Ley Orgánica de este Tribunal, diríjase atenta comunicación al Juzgado de Primera Instancia e Instrucción núm. 4 de Lorca a fin de que, en plazo que no exceda de diez días, se proceda a emplazar a quienes hubieran sido parte en el procedimiento, excepto la parte recurrente en amparo, para que, si lo desean, puedan comparecer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Cuarta de este tribunal en la misma fecha de la admisión del recurso, el 4 de noviembre de 2020,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entidad recurrente presentó su escrito de alegaciones con fecha 12 de noviembre de 2020,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 perder al recurso de amparo su finalidad y provocaría perjuicios patrimoniales para mi representada de imposible o difícil reparación”. Invoca a su favor lo resuelto por este tribunal en sus AATC 21/2018, de 5 de marzo, y 58/2018, de 4 de junio, reiterando a renglón seguido las vulneraciones constitucionales de fondo que aduce en su demanda, e indicando que de no adoptarse la medida y “seguir adelante la ejecución podría producirse la transmisión irrecuperable del dominio del bien inmueble, creando una situación difícilmente reversible que menoscabaría los fines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fiscal ante este Tribunal Constitucional formalizó su escrito de alegaciones en esta pieza el 17 de noviembre de 2020, interesando que adoptemos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 de la Ley Orgánica del Tribunal Constitucional (LOTC) y doctrina general sobre la procedencia de la suspensión del acto impugnado en amparo, con cita del ATC 227/1999, de 27 de octubre, FFJJ 2 y 3, y otras resoluciones anteriores, en el sentido de que lo procedente es acordar solamente la suspensión cuando de no hacerlo se producirían perjuicios para los derechos fundamentales de imposible o muy difícil reparación, señala el escrito que, “en el presente caso, la petición de suspensión del procedimiento ejecutivo no parece muy fundamentada por la propia recurrente, ya que se limita a la mera petición sin explicitar ninguna razón salvo la mera pérdida de finalidad del recurso en el caso de que llegara a celebrarse la subasta de los bienes inmuebles en conflicto y su adjudicación a un tercero que actuaría de buena fe. Acordar la suspensión solicitada comportaría la drástica medida que supondría la paralización del procedimiento ejecutivo, que por su propia naturaleza goza de las características de celeridad y sumariedad”.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cambio, prosigue diciendo: “Mucho más eficaz para conseguir el efecto protector deseado por la recurrente sería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tercero adquirente quede especialmente protegido por su buena fe en la adquisición”. Añade que la medida puede acordarla este tribunal ex art. 56.3 LOTC, con cita del ATC 95/2015, de 25 de mayo, FJ 4, y que “nos encontramos en uno de esos supuestos en que tratándose de un resolución de carácter patrimonial, no obstante puede acabar afectando a derechos futuros de terceros adquirentes de buena fe, por lo que de acuerdo con la doctrina de este tribunal, sería procedente la anotación preventiva de la demanda, que haría que lo que consta en el registro de la propiedad fuera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368-2018 seguido en el Juzgado de Primera Instancia e Instrucción núm. 4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aquellos,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donde se plantearon los mismos argumentos que aquí para solicitar la suspensión por la otra entidad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 en relación con el presente recurso de amparo instado por la entidad Euroinversiones Inmobiliarias Costa Sur, S.L.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368-2018 seguido en el Juzgado de Primera Instancia e Instrucción núm. 4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