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154</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30 de noviembre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en el recurso de amparo núm. 7508-2019, promovido por Euroinversiones Inmobiliarias Costa Sur,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26 de diciembre de 2019, la procuradora de los tribunales doña Blanca Berriatua Horta, en nombre y representación de la entidad Euroinversiones Inmobiliarias Costa Sur, S.L., y bajo la dirección del letrado don Marcelino Gilabert García, interpuso recurso de amparo contra el auto del Juzgado de Primera Instancia e Instrucción núm. 4 de Lorca de 30 de octubre de 2019, por el que se desestima el recurso de reposición interpuesto contra el auto de 14 de diciembre de 2018, por el que se inadmite el escrito de oposición a la ejecución hipotecaria en el procedimiento de ejecución hipotecaria núm. 367-2018.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del procedimiento de ejecución hipotecaria alegando que “la continuación de la ejecución derivada de los pronunciamientos judiciales que han sido objeto de impugnación, con la celebración de subasta y la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por sendas providencias de 15 de octubre de 2020, acordó, en la primera, entre otros aspectos, la admisión a trámite de la demanda de amparo y la formación de pieza separada para la sustanciación del incidente de suspensión; y, en la segunda, formar la oportuna pieza para la tramitación del incidente sobre suspensión y conceder al recurrente y al Ministerio Fiscal el plazo común de tres días para que alegasen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5 de noviembre de 2020, presentó alegaciones interesando que se deniegue la suspensión pero que se acuerde la anotación preventiva de la demanda de amparo, argumentando que la petición no aparece muy fundamentada y que el efecto protector deseado por la entidad demandante frente a la posible adjudicación a un tercero de buena fe del bien subastado se obtendría de manera mucho más eficaz mediante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entidad demandante, por escrito registrado el 28 de octubre de 2020, presentó alegaciones reiterando su solicitud de suspensión, insistiendo en que con la celebración de subasta y la eventual adjudicación a terceros o a la entidad ejecutante el recurso de amparo perdería su finalidad y le provocaría perjuicios patrimoniales de imposible o difícil reparación. También pone de manifiesto que la posible adjudicación del bien inmueble a terceros de buena fe llevaría a situaciones irreversibles.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367-2018 seguido en el Juzgado de Primera Instancia e Instrucción núm. 4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(así,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el tribunal viene exigiendo a quien solicita la adopción de la medida cautelar de suspensión del acto o resolución judicial recurrido que alegue, pruebe o justifique, ofreciendo un principio razonable de prueba, el carácter no reparable o la dificultad de la reparación de los perjuicios de seguirse la ejecución del acto impugnado, con el objeto de mostrar que la ejecución del acto recurrido puede privar a la demanda de amparo de su finalidad, provocando que el restablecimiento del recurrente en el derecho constitucional vulnerado sea tardío y convirtiendo en meramente ilusorio y nominal el amparo [AATC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consolidada doctrina constitucional, de la que son buena muestra, entre otros muchos, los AATC 220/2008, de 14 de julio, FJ 2, y 64/2009, de 23 de febrero, FJ 2, o los más recientes AATC 56/2013, de 25 de febrero, FJ 2; 74/2013, de 8 de abril, FJ 2; 152/2013, de 8 de julio, FJ 2; 37/2014, de 10 de febrero, FJ 2; 282/2014, de 17 de noviembre, FJ 3,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de la que se ha hecho mención permite concluir, de acuerdo con el fiscal, que resulta improcedente la suspensión solicitada y, por el contrario, aparece como medida idónea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dicha entidad mercantil, como tampoco sobre las características, destino y estado posesorio del inmueble hipotecado. En tales circunstancias, no es posible afirmar que la continuación del curso del procedimiento judicial, incluso con un desplazamiento posesorio, provoque por sí solo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un tercero lo hiciera irreivindicable; situación a la que se hace referencia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entre otros, en los AATC 106/2017, de 17 de julio, FJ 3; 88/2018, de 17 de septiembre, FJ 5; 2/2019, de 9 de enero, FJ 4, y 85/2019, de 15 de julio, a propósito de otros procedimientos hipotecarios, donde se plantearon los mismos argumentos que aquí para solicitar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trata de una medida cautelar que el tribunal, de conformidad con el art. 56 LOTC, puede adoptar de oficio o a instancia de parte, con fundamento en el art. 42.1 de la Ley hipotecaria, y, de acuerdo con el ATC 95/2015, de 25 de mayo,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decisión en esta materia se limita, en tal sentido,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 [AATC 21/2018, de 5 de marzo, FJ 5, y 88/2018, de 17 de septiembre,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367-2018 seguido en el Juzgado de Primera Instancia e Instrucción núm. 4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noviembre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