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30 de noviembre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en el recurso de amparo núm. 1004-2020, promovido por Aluminios Torralba, S.A.,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17 de febrero de 2020, tuvo entrada en el registro general de este Tribunal Constitucional un escrito del procurador don José Ramón Rego Rodríguez, en representación de la entidad Aluminios Torralba, S.A., por el que interpuso recurso de amparo contra el auto de 15 de enero de 2020 del Juzgado de Primera Instancia núm. 14 de Murcia, por el que se desestimó el incidente de nulidad de actuaciones planteado respecto de la ejecución hipotecaria núm. 1646-2013 promovida por Banco de Sabadell, S.A., referida a varios inmuebles propiedad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5 de noviembre de 2013, Banco de Sabadell, S.A., presentó demanda contra Aluminios Torralba, S.A., dictándose auto de 19 de febrero de 2014 del Juzgado de Primera Instancia núm. 14 de Murcia por el que se despachaba ejecución y se requería de pago a la parte demandada. Dicha resolución fue notificada en la calle Jara 31, 3 A de Cartagena, domicilio de la demandada vigente en el registro, siendo devuelta por “desconocida” en dicha dirección.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ejecutante interesó entonces que la citación se practicara en la persona de la representante legal de la recurrente, Rosa Salcedo Hernández, en Murcia, donde tampoco se pudo practicar.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citación se realizó mediante edictos, de conformidad con los arts. 156.4 y 164 de la Ley de enjuiciamiento civil (LEC) expuestos en el tablón de anuncios del juzgado desde el 31 de julio de 2014 hasta el 27 de noviembre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diligencia de ordenación de 29 de mayo de 2015 se indicó lo siguiente: “Visto el estado de las presentes actuaciones se acuerda consultar el punto neutro judicial a fin de averiguar nuevo domicilio de la mercantil ejecutada. Visto el resultado de la consulta y no constando domicilio diferente del que obra en las actuaciones en el que poder practicar la diligencia de notificación de la subasta […] la publicación de edicto en el tablón de anuncios de la oficina judicial y en el portal de subastas judiciales del Ministerio de Justicia servirá de notificación en 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sostiene la recurrente, dicha consulta al punto neutro judicial no llegó a realizarse, continuando el procedimiento hasta la subasta y dictándose el decreto de adjudicación en favor del ejecutante en fecha 9 de marzo de 2018, si bien la entrega ha sido suspendida, según le han manifestado los arrendatarios de las fincas.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recurrente tuvo conocimiento del procedimiento hipotecario a través de los citados arrendatarios y, tras solicitar su personación en la causa el 20 de junio de 2018, interpuso un incidente de nulidad de actuaciones el 4 de julio de 2018. El incidente fue desestimado por auto de 15 de enero de 2020, el cual argumenta que el domicilio en el que se intentó la notificación (calle Jara 31, 3 A, de Cartagena) es el que figura en la escritura de constitución del préstamo hipotecario de 14 de marzo de 2006 como domicilio para notificaciones. Y vuelve a figurar, a los mismos efectos, en la escritura de novación modificativa de dicho préstamo, de 30 de diciembre de 2009, por no contener modificación alguna al respecto. No consta que la prestataria comunicara la modificación de domicilio en los términos y con los efectos del art. 683 LEC. También se intentó la notificación en el domicilio de la representante legal de la sociedad (Rosa Salcedo Hernández) que aparece en las escrituras, lo que también resultó infructuoso. Por lo tanto, el auto concluye que no concurre causa alguna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vulneran el derecho de la entidad recurrente a la tutela judicial efectiva sin indefensión (art. 24.1 CE), al no haberse agotado todas las posibles vías de averiguación de su domicilio para notificar de forma personal el auto por el que se despacha ejecución y requiere de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recurrente alega que, examinados los autos detalladamente, no consta en ningún momento que se hubiera practicado la consulta al punto neutro judicial acordada en la diligencia de ordenación de 29 de mayo de 2015 ni que Banco de Sabadell, S.A., haya mostrado la necesaria diligencia en instar esa averiguación acordada ni tampoco la necesaria consulta al Registro Mercantil de Murcia, en el que habría comprobado que Rosa Salcedo Hernández no tenía la representación que le imputaba el citado banco, por lo que, conforme a la legislación vigente y jurisprudencia aplicable, no se han agotado todas las posibles vías de averiguación a fin de hacer efectiva la notificación personal. Debido a todo esto, la ejecutada solo ha tenido conocimiento del proceso judicial cuando se solicitó la posesión de los bienes por la ejecutante, a través de los arrendatarios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en que, conforme al art. 155.3 LEC, en las actuaciones de la ejecución hipotecaria no figura que por parte de la ejecutante ni del juzgado se haya procedido a realizar una actuación averiguadora suficientemente diligente respecto del domicilio de la recurrente o de quien pudiera aparecer como “administrador”, “gerente”, “apoderado”, etc.; extremos que no hubieran resultado de gran complicación, habiendo bastado con acudir al registro mercantil de Murcia. Por tanto, no se han agotado las posibles vías de averiguación del domicilio de la recurrente en amparo, y además, la representante legal a la que se intentó citar dejó de tener cargos de representación en la sociedad antes de que se iniciara el proceso, pues el nombramiento por cinco años, de 15 de marzo de 2008, estaba caducado.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cita de las SSTC 150/2008, de 17 de noviembre, FJ 2; 78/2008, de 27 de julio, FJ 2; 122/2013, de 20 de mayo, FJ 5, y 6/2017, de 16 de enero, FJ 2, la demanda aduce que se ha vulnerado una consolidada doctrina que fue expuesta en el incidente de nulidad, sin que el juzgado entrara a valorarla ni siquiera someramente.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anule el auto de 15 de enero de 2020 por el que se desestima el incidente de nulidad de actuaciones y la diligencia que ordena el emplazamiento por edictos y, declarando la nulidad de lo actuado a partir de dicho momento, ordene la retroacción al momento de dictarse el auto de 19 de febrero de 2014 por el que se despachaba ejecución y se requería de pago a Aluminios Torralba,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medio de otrosí, el escrito de demanda solicitó, con base en el art. 56 de la Ley Orgánica del Tribunal Constitucional (LOTC), la suspensión del procedimiento mientras se tramita el recurso de amparo. Al respecto, alega que “los bienes hipotecados ya se encuentran en manos de un tercero, en teoría el banco ejecutante que solicita la posesión, dificultando la efectividad de la tutela que pudiera otorgarse y ello puesto que, en caso contrario, lo mejor que podría garantizarse al demandante es una protección a posteriori, vía indemnización, que resultaría incompleta e insuficiente”.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señala que la suspensión solicitada no supone la perturbación grave de los intereses generales ni afecta a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Sección Cuarta, de este Tribunal Constitucional, dictó providencia el 4 de noviembre de 2020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como consecuencia de que el órgano judicial pudiera haber incurrido en una negativa manifiesta del deber de acatamiento de la doctrina de este tribunal [STC 155/2009, FJ 2 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al Juzgado de Primera Instancia núm. 14 de Murcia, a fin de que, en plazo que no exceda de diez días, remita certificación o fotocopia adverada de las actuaciones correspondientes al procedimiento de ejecución hipotecaria número 1646-2013;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Fórmese la oportuna pieza para la sustanciación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Cuarta de este tribunal en la misma fecha de la admisión del recurso, el 4 de noviembre de 2020,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entidad recurrente presentó su escrito de alegaciones con fecha 16 de noviembre de 2020, interesando que se acceda a lo solicitado en cuanto a la suspensión del procedimiento de ejecución hipotecaria, ratificándose en los argumentos esgrimidos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informa que por diligencia de 9 de noviembre de 2020 ha tenido conocimiento de la personación de la mercantil Promontoria Coliseum Industrial Assets, como actual propietaria de los inmuebles adjudicados. A juicio de la demandante, esto aumenta la necesidad de tutela cautelar puesto que, en caso contrario, lo mejor que podría garantizarse al demandante es la protección a posteriori, vía indemnización, que resultaría incompleta e insuficiente. Insiste en que ve peligrar gravemente la efectividad de la sentencia que pudiera recaer en el presente procedimiento, a menos que se adopte con carácter de urgencia la medida aseguradora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igual que manifestaba en la demanda, aduce que no es previsible que la ejecutante padezca perjuicio alguno, puesto que ya cuenta con el decreto de adjudicación de las fincas expedido por el juzgado, lo que constituye caución más que suficiente para responder de los posibles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fiscal ante este Tribunal Constitucional formalizó su escrito de alegaciones en esta pieza el 23 de noviembre de 2020, interesando que se adopte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citar el art. 56.2 LOTC y reproducir lo declarado en el ATC 127/2015, de 20 de julio, FJ 1, en relación con la necesidad de acreditar por el interesado la existencia de un perjuicio irreparable, para poder acordarse la suspensión de los actos impugnados en amparo, el fiscal sostiene que en el presente caso, la recurrente solicita la suspensión “sin explicitar ninguna razón que permita afirmar que la continuación del procedimiento judicial, incluso con desplazamiento posesorio, provoque un perjuicio determinante de la pérdida de la finalidad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“para conseguir el efecto protector deseado por la recurrente y enervar los indeseados efectos de la paralización del procedimiento que por su propia naturaleza goza de las características de celeridad y sumariedad, se puede acordar la anotación preventiva de la demanda de amparo en el registro de la propiedad, ya que de esta manera se daría publicidad frente a terceros de la pendencia del recurso, lo que conlleva el conocimiento de los efectos que sobre la titularidad de la finca puede tener el otorgamiento del amparo en su caso, evitando que el hipotético tercero adquirente quede especialmente protegido por su buena fe en la adquisición”. Cita en apoyo de esto el art. 56.3 LOTC, que permite al tribunal adoptar toda medida que evite que el recurso de amparo pueda perder su finalidad, así como el ATC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finalmente, en que es procedente la medida de anotación preventiva, pues de lo contrario “la tutela que pudiera otorgarse por este tribunal no sería completa si se deja abierta la posibilidad de que la finca sea transmitida a tercero de buena fe mientras se sustancia y resuelve el presente proceso de amparo”, por lo que se interesa su adopción.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es determinar la procedencia o no de la medida cautelar instada por la parte recurrente en amparo en el procedimiento de ejecución hipotecaria núm. 1646-2013 seguido en el Juzgado de Primera Instancia núm. 14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pone de manifiesto que, de no acordarse la suspensión, peligraría gravemente la efectividad de la sentencia que pudiera recaer en el recurso de amparo, lo cual considera especialmente grave atendiendo a que ya se ha dictado decreto de adjudicación. Afirma, no obstante, que, llegado el día de la entrega al adjudicatario, la misma ha sido suspendida, según le manifiestan los arrendatarios de los inmuebles. Por otro lado, en las alegaciones en la pieza de suspensión, añade que ha tenido conocimiento de que en el procedimiento de ejecución ha comparecido una nueva entidad en calidad de actual titular de los inmuebles adjudicados.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tales circunstancias, este tribunal entiende, tal y como interesa el fiscal, que lo procedente es acordar la anotación preventiva de la demanda de amparo en el registro de la propiedad. Esta misma ha sido la solución acogida recientemente, entre otros, en los AATC 106/2017, de 17 de julio, FJ 3; 88/2018, de 17 de septiembre, FJ 5; 2/2019, de 9 de enero, FJ 4, y 123/2020, de 19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1646-2013 seguido en el Juzgado de Primera Instancia núm. 14 de Murcia.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los inmuebles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