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3564-2019, promovido por Penrei Inversiones, S.L., representada por la procuradora de los tribunales doña Blanca Berriatua Horta y bajo la dirección letrada de doña Anju Nirmala Benavent Rodríguez, contra el auto del Juzgado de Primera Instancia e Instrucción núm. 5 de Lorca, de 21 de septiembre de 2018, que inadmitió por extemporánea la oposición a la ejecución formulada por dicha mercantil, en el procedimiento de ejecución hipotecaria núm. 292-2018 instado por la entidad Banco de Sabadell, S.A.; y contra el auto del mismo juzgado, de 23 de abril de 2019, que desestimó el recurso de reposición interpuesto contra la anterior resolución. Ha sido parte la entidad Pera Assets Designated Activity Company, representada por la procuradora de los tribunales doña María Claudia Monteanu y bajo la dirección del letrado don Alejandro Ingram Solis.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junio de 2019, la procuradora de los tribunales doña Blanca Berriatua Horta, actuando en nombre y representación de Penrei Inversiones, S.L.,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inscrita con el núm. 43.283 en el Registro de la Propiedad núm. 3 de Lorca. Reclamaba la cantidad de 149 651,12 € de principal del préstamo impagado, más intereses legales y costas, resultando la primera de las demandadas la deudora hipotecaria, y la segunda titular de un derecho de uso y disfrute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5 de Lorca, al que correspondió el conocimiento de la causa, dictó auto el 9 de mayo de 2018 por el que acordó el despacho de ejecución (procedimiento de ejecución hipotecaria núm. 292-2018), ordenando a las ejecutadas efectuar el pago de las cantidades que se reclamaban. Asimismo se proveyó que dicho auto, junto con el decreto que debía dictar el letrado de la administración de justicia, fueran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relativa a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11 de mayo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e Instrucción núm. 5 de Lorca, relativa al proceso: EJH/0000292/2018; notificación que estaría disponible entre los días 11 de mayo y 26 de junio de 2018, a través de un enlace electrónico que también indicaba. Como información adicional se añadía que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recibió el día 25 de junio, en la misma dirección electrónica habilitada, un “[a]viso de próxima caducidad”, recordándole que el plazo para la recepción de la comunicación terminaba el día 26 de junio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esta última fecha, la mercantil recurrente en amparo accedió al enlace remitido a la dirección electrónica habilitada, y, con ello, a la notificación enviada por el juzgado ejecutante, en relación con el procedimiento hipotecario núm. 292-2018. Automáticamente, el servicio de notificaciones de la Fábrica Nacional de Moneda y Timbre emitió un certificado electrónico haciendo constar que la notificación había sido enviada y aceptada con fecha de 26 de junio de 2018, a las 10:11:27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entidad Penrei Inversiones, S.L., presentó con fecha 10 de julio de 2018 escrito de oposición a la ejecución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5 de Lorca dictó auto, en fecha 21 de septiembre de 2018, en cuya virtud inadmitió, por extemporánea, la oposición planteada. En dicha resolución se expone que “[e]n fecha 11 de mayo de 2018 se notificó y requirió en legal forma a través de la sede judicial electrónica ambas ejecutadas, y en fecha 10/07/2018 y 10/07/2018 se ha presentado por Penrei Inversiones, S.L., y por Euroinversiones Inmobiliarias Costa Sur, S.L., oposición a la ejecución hipotecaria”, para luego fundar la inadmisión, en esencia, en que, conforme a la improrrogabilidad de los plazos y la preclusión que establecen los arts. 134 y 136 LEC, en relación con lo dispuesto en el art. 695 LEC, la oposición habría de haberse presentado dentro de los diez días siguientes a la notificación del auto y decreto por el que se despachó la ejecución. Por tanto, al haberse opuesto la ejecutada pasado el plazo legalmente establecido, se debe inadmitir su oposición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sociedad mercantil recurrente interpuso recurso de reposición alegando, en síntesis, que las actuaciones de notificación y requerimiento no habían sido realizadas el día 11 de mayo de 2018, sino el 26 de junio de 2018, y que la comunicación remitida a través de la dirección electrónica habilitada no podía entenderse nada más que como un aviso de puesta a disposición o descarga de su contenido durante un plazo determinado (en el caso desde el 11 de mayo al 26 de junio de 2018) y entenderlo de otro modo, además de infringir los arts. 135, 152, 160, 162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desestimado por auto de 23 de abril de 2019, señalando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de procedimiento administrativo común de las administraciones públicas, y 273.3 a) LEC. Determina el Juzgado que la recurrente interpreta de forma errónea la normativa aplicable, considerando que, conforme al art. 162.2 LEC, transcurridos tres días sin que el destinatario acceda al contenido de la comunicación, se entenderá realizada legalmente la notificación, desplegando plenamente sus efectos. En función de esa normativa y de los acuerdos y pronunciamientos judiciales que cita, concluye el juzgado que “consta que la notificación se puso a disposición de las recurrentes en fecha 11/05/2018 no accediendo al contenido hasta el día 26/06/2018 (fuera de los tres días que establece la normativa procesal), presentando los escritos de oposición a la ejecución en fecha 9/10/2018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del derecho a la tutela judicial efectiva sin indefensión (art. 24.1 CE), en su vertiente del respeto a un procedimiento con las debidas garantías, que no cause indefensión. La queja principal de la demanda de amparo se refiere a la falta de notificación personal de la demanda de ejecución hipotecaria, otorgándose efecto a la remisión de un correo electrónico que carece de los requisitos esenciales para considerarlo un acto de notificación procesal, habiéndose vedado a la recurrente de este modo la posibilidad de ejercitar su derecho de oposición en un proceso de ejecución hipotecaria. La cuestión planteada se cifra en determinar si un correo electrónico remitido por un servicio de notificaciones electrónicas es un acto de notificación procesal, que despliega los efectos propios de una notificación realizada con todas las garantías procesales o si no lo es, en cuyo caso habría que determinar si las decisiones adoptadas por el juzgador en la instancia son arbitrarias, irracionales o fruto de un error patente, y en consecuencia constituyen una vulneración del derecho a la tutela judicial efectiva, consagrado en 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dispone el art. 273 LEC, cuando se trata del primer emplazamiento y, por tanto, todavía aquella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prevé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expresamente al auto de 23 de abril de 2019 que desestima el recurso de reposición, la recurrente en amparo entiende que el órgano judicial en esta resolución aplica normativa derivada del procedimiento administrativo común, que no resulta aplicable al procedimiento judicial civil, aun cuando pretenda ampararse en el art. 273 LEC o en la Ley 42/2015 de reforma de la Ley de enjuiciamiento civil, pues olvida la existencia de otro tipo de preceptos aplicables al caso, a las que se ha hecho previa referencia, en particular los referidos a la exigencia de presentación de documento en soporte papel en el primer acto de comunicación procesal (art. 273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afirma, por último,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instando al tribunal para que acuerde la nulidad de ambas resoluciones judiciales y ordene reponer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escrito de demanda solicitó la suspensión de la continuación del procedimiento de ejecución hipotecaria 292-2018 seguido ante el Juzgado de Primera Instancia e Instrucción núm. 5 de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la Sección Segunda de este tribunal, de fecha 18 de septiembre de 2019, se acordó oficiar al Juzgado de Primera Instancia e Instrucción núm. 5 de Lorca, para que remitiera, a la mayor brevedad posible, certificación acreditativa acerca de si el auto de fecha 23 de abril de 2019 había adquirido firmeza. Por certificación de 26 de septiembre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febrero de 2020, la Sección Segunda del tribunal acordó admitir a trámite el recurso de amparo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acuerda dirigir comunicación al Juzgado de Primera Instancia e Instrucción núm. 5 de Lorca, en aplicación de lo dispuesto en el art. 51 LOTC, a fin de que se emplazara a quienes hubieran sido parte en el procedimiento, excepto la parte recurrente en amparo, para que en el plazo de diez días pudieran comparecer en el recurso de amparo, no siendo necesaria la remisión del testimonio de las actuaciones correspondientes a la ejecución hipotecaria núm. 292-2018, al estar ya incorporadas ya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acordó asimismo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14 de febrero de 2020, la parte demandante formuló sus alegaciones, reiterando lo dicho en el otrosí de su demanda y trascribiendo parte del ATC 287/2013, de 16 de diciembre. Por su parte, el Ministerio Fiscal, en escrito registrado el 24 de febrero de 2020,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48/2020, de 15 de junio,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25 de marzo de 2020, doña María Claudia Munteanu, procuradora de los tribunales, y de Pera Assets Designated Activity Company, presenta escrito personándose como parte en el amparo, al haber sucedido en su posición procesal al Banco de Sabadell, S.A. Por diligencia de ordenación de 18 de mayo de 2020, se tiene por personada y parte a la procuradora Maria Claudia Munteanu, en nombre y presentación de la mercantil Pera Assets Designated Activity Company, y a tenor de lo dispuesto en el art. 52.1 LOTC, se acordó dar vista de las actuaciones recibidas al Ministerio Fiscal, a la parte recurrente en amparo, y a la parte personada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25 de junio de 2020 presentó sus alegaciones el Ministerio Fiscal. Tras reflejar los aspectos del procedimiento judicial y de la tramitación seguida ante este Tribunal que consideró relevantes, recuerda que el presente recurso de amparo forma parte de una serie, cuyo denominador común son las idénticas vulneraciones que se atribuyen a las resoluciones dictadas por los juzgados de primera instancia e instrucción de Lorca, en diferentes procedimientos de ejecución hipotecaria seguidos contra Euroinversiones Inmobiliarias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fiscal pone de relieve que algunos de esos recursos ya han sido resueltos por el Tribunal Constitucional, en concreto por la STC 40/2020, de 27 de febrero, dictada por el Pleno, y las SSTC 43/2020, de 9 de marzo, de la Sala Segunda. En relación con las citadas sentencias, señala que recogen la doctrina establecida por la STC 6/2019, de 17 de enero, y la STC 47/2019, de 8 de abril, y añade que, en esta última sentencia, el tribunal por primera vez apreció la vulneración del derecho a la tutela judicial efectiva sin indefensión (art. 24.1 CE), por la inobservancia del emplazamiento personal de la entidad demandada, pues dicha diligencia se realizó a través de la dirección electrónica habilitada de la entonces demandante de amparo, sin tener en cuenta que el art. 155 LEC obliga a que el primer emplazamiento del demandando o ejecutado se realice de manera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fiscal transcribe parte de la fundamentación jurídica de la STC 40/2020. Asimismo, reproduce la parte de la argumentación de la STC 19/2020, de 10 de febrero, que recoge la doctrina establecida en las SSTC 6/2019 y 47/2019. Finalmente, afirma que la doctrina expuesta resulta íntegramente aplicable al presente recurso de amparo, por lo que interesa su estimación al haberse vulnerado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de 9 de julio de 2020 presentó sus alegaciones la entidad demandante de amparo. Como primera cuestión y a fin de evitar repeticiones innecesarias, se reiteró en lo ya expuesto en su escrito de interposición del recurso de amparo. No obstante, destaca la STC 40/2020, de 27 de febrero, del Pleno del Tribunal Constitucional, que resuelve el recurso de amparo núm. 5377-2018, promovido por Euroinversiones Inmobiliarias Costa Sur, S.L., en un asunto prácticamente igual al del presente recurso de amparo, en el que el Tribunal sostiene que, tratándose del primer emplazamiento o citación al demandado, este ha de efectuarse en el domicilio del litigante, como impone el artículo 155.1 LEC, pues de lo contrario se estaría vulnerando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solicita que se dicte sentencia estimatoria, en los términos interesados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contexto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autos de 21 de septiembre de 2018 y 23 de abril de 2019, dictados por el Juzgado de Primera Instancia e Instrucción núm. 5 de Lorca en el procedimiento de ejecución hipotecaria núm. 292-2018. El primero de ellos inadmitió por extemporánea la oposición a la ejecución hipotecaria, mientras que el segundo confirmó la anterior decisión al desestimar el recurso de reposición interpuesto frente a ella. La constatación de la existencia del óbice de extemporaneidad se basa en que el órgano judicial toma como fecha de notificación el 11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26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notificación fue inadecuadamente realizada pues, al tratarse de la primera notificación, debió efectuarse de forma personal y no a través de la dirección electrónica habilitada, lo que le habría generado indefensión, y por tanto vulneración del art. 24.1 CE, al inadmitirse la oposición a la ejecución e impedirse la formulación del oportuno recurso. Por su parte, el Ministerio Fiscal, con sustento en las razones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integra en la serie de recursos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la dirección electrónica habilitada de la Fábrica Nacional de Moneda y Timbre, inadmitieron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25 de febrero,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al emplazamiento de la actora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promovida por Penrei Inversiones,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21 de septiembre de 2018 y 23 de abril de 2019, dictados por el Juzgado de Primera Instancia e Instrucción núm. 5 de Lorca en el proceso de ejecución hipotecaria núm. 292-2018,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