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14 de diciembre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6318-2017, promovido por doña E.N.C., representada por el procurador de los tribunales don José Álvaro Villasante Almeida y asistida por el letrado don José Francisco Barroso Roldán contra la sentencia de la Sala de lo Civil del Tribunal Supremo, de 23 de noviembre de 2017, recaída en el recurso de casación núm. 2211-2016, desestimatoria del recurso interpuesto frente a la sentencia de la Sección Vigesimocuarta de la Audiencia Provincial de Madrid, de fecha de 3 de junio de 2015, en el rollo de apelación núm. 1061-2014, estimatoria del recurso de apelación formulado contra la sentencia del Juzgado de Primera Instancia núm. 7 de Móstoles, de 19 de febrero de 2014, en los autos de juicio verbal núm. 335-2013, en que se estimó la demanda interpuesta por doña E.N.C., contra don J.C.F.S., declarando a este padre biológico de la menor, cuyos apellidos pasaron a ser N.F., y acordando la rectificación de sus datos en el registro civil. Han sido parte doña E.N.C. y don J.C.F.S., y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junio de 2018, el procurador de los tribunales don José Álvaro Villasante Almeida en nombre y representación de doña E.N.C. interpuso recurso de amparo contra la resolución judicial que se cita en el encabezamiento de esta sentencia, alegando la vulneración de su derecho a la tutela judicial efectiva (art. 24.1 CE), en su vertiente relativa al deber de motivación, en relación con el principio de protección integral de los hijos y del superior interés del menor (art. 39 CE) y con el derecho a la propia imagen del mismo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E.N.C., interpuso demanda de determinación de filiación paterna no matrimonial de su hija, menor de edad, contra don J.C.F.S., solicitando prueba de paternidad e interesando en el suplico que se declarase la paternidad del demandado. Igualmente solicitaba que los apellidos de la niña fueran F.N. (esto es, como primer apellido, el primero del padre y, como segundo, el primero de la madre) y se ordenase la rectificación en el registro civil de la inscripción del nacimiento de la menor, en el sentido de que se hiciera constar que su padre es don J.C.F.S.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fiscal en su contestación se remitió a lo que resultara de las pruebas practicadas y a su valoración en el acto de la vista. La parte demandada mostró su conformidad a someterse a la prueba pericial solicitada de contrario, suplicando que se dictara sentencia por la que, dependiendo del resultado que arrojara, se estimaran las peticiones formuladas en la demanda o se desestimaran íntegramente, sin condena en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Según se desprende de las actuaciones, en el acto de la vista, celebrada el día 18 de febrero de 2014, la demandante interesó, sin embargo, la estimación de la demanda y que los apellidos de la menor fueran, primero, el primer apellido de la madre y, segundo, el primer apellido del padre, petición a la que se opuso la parte demandada por considerarla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de 19 de febrero de 2014, el Juzgado de Primera Instancia núm. 7 de Móstoles dictó sentencia estimando la demanda. Declaró al demandado padre biológico de la menor, fijando como apellidos, en primer lugar, el primero de la madre y, en segundo, el primero del padre, y acordando, en consecuencia, la rectificación de los datos de la menor en el registro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demandado solicitó la aclaración de la sentencia, alegando que no debería haberse accedido al cambio de orden de los apellidos interesado en el acto de la vista, donde formuló su oposición, entendiendo que el acogimiento extemporáneo de la solicitud de permanencia del apellido materno como primero de la hija común, le había causado indefensión (art. 24 CE). A ello añadía la falta de motivación de la resolución de instancia y reiteraba la aplicabilidad del criterio alfabético para resolver la falta de acuerdo de los progenitores en cuanto al orden de los apellidos de la niña. La aclaración fue desestimada por providencia de 26 de marzo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Don J.C.F.S., interpuso recurso de apelación solicitando la revocación de la sentencia del juzgado de primera instancia, reiterando los anteriores argumentos. Así, entendía que se había vulnerado el art. 24 CE “ante la indefensión producida a esta parte por la petición fuera del momento procesal oportuno” y por la falta de motivación de la sentencia al modificar el orden de apellidos tal y como las partes habían determinado en la demanda y su contestación. El Ministerio Fiscal se adhirió al recurso interpuesto en lo relativo al cambio de orden de los apellidos, alegando que tal petición no fue debidamente fundamentada, que la sentencia carecía de motivación y que, al no existir acuerdo entre los progenitores, debía figurar en primer lugar el apellido del padre por cuanto la demandante no había acreditado que el cambio de apellidos pudiere afectar a la menor de alguna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apelada mostró su oposición interesando la desestimación íntegra del recurso pues, a su juicio, solo la madre podía solicitar el cambio en el orden de los apellidos, careciendo el demandado de esa facultad hasta que no fuera reconocido como padre por sentencia firme. Afirmaba, además, que no era necesaria la motivación del cambio, dado que se trataba de una petición formulada por la única persona legitimada para hacerla, negando que hubiera existido discrepancia alguna acerca de este punto sino, tan solo, una elección libre por parte de la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sentencia de 3 de junio de 2015, la Sección Vigesimocuarta de la Audiencia Provincial de Madrid estimó el recurso, accediendo a la modificación en el orden de los apellidos. Para alcanzar este fallo razonó, en primer lugar, que el juzgado de instancia había incumplido el deber de motivación. En segundo término, que la petición de permanencia del apellido materno como el primero de la menor fue introducida extemporáneamente en el proceso, pues en la demanda se había solicitado que los apellidos de la niña fueran F.N., no siendo hasta la vista celebrada el 18 de febrero de 2014 cuando se reclama el cambio. Por último, entendía que la decisión sobre los apellidos no se ajustaba a la legalidad vigente, con arreglo a lo previsto en los arts. 194 y 196 del Reglamento de la Ley del registro civil y los arts. 109 y 111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la anterior sentencia doña E.N.C. interpuso recurso de casación articulado en tres motivos. Como primer motivo se alega la infracción del art. 39 CE, en relación con la Convención de los derechos del niño, de 20 de noviembre de 1989, y la Carta europea de los derechos del niño pues, dado que a la menor se la conoce por el apellido de su madre, el cambio de ese apellido por el del padre podría ocasionarle un grave perjuicio. Como segundo motivo, se denuncia que la sentencia recurrida habría infringido la doctrina jurisprudencial de los actos propios, vista la actitud del padre de la menor, quien conociendo el embarazo y el nacimiento de la menor, no la reconoció voluntariamente, ni otorgó relevancia a los apellidos de la pequeña hasta ese momento, por lo que había de afirmarse que actúa con claro abuso del derecho. Como último motivo de casación, se aduce la infracción de la doctrina jurisprudencial establecida en la sentencia del Tribunal Supremo de 17 de febrero de 2015, relativa a la prevalencia del interés superior del menor en la decisión sobre el orden de los apellidos en defecto de acuerdo de los progenitores.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Sección Vigesimocuarta de la Audiencia Provincial de Madrid inadmitió el recurso por auto de 6 de noviembre de 2015, al considerar que no se había acreditado debidamente su interés casacional.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Interpuesto recurso de queja, fue estimado por auto de la Sala de lo Civil del Tribunal Supremo de 30 de marzo de 2016, acordándose la continuación de la tramitación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auto de 15 de marzo de 2017, la Sala de lo Civil del Tribunal Supremo acordó admitir el recurso de casación planteado por doña E.N.C., dando traslado del mismo a las partes recurridas para que pudieran formalizar su oposición. El Ministerio Fiscal se mostró conforme con el recurso, interesando que se casara la sentencia. A tal fin, hace hincapié en la doctrina de este tribunal, que ha admitido un menor rigor formal en este tipo de procesos, en los que se amplían ex lege las facultades del juez en garantía de los intereses que han de ser tutelados, entre los que ocupa una posición prevalente el interés del menor (STC 58/2008, de 28 de abril, FJ 2), así como en la relativa a la exclusión de la preclusión de los actos procesales en aras de ese interés (SSTC 75/2005, de 4 de abril, y 58/2008, de 28 de abril). Por el contrario, don J.C.F.S. manifestó su oposición, invocando el carácter extemporáneo de la petición relativa al orden de los apellidos, produciéndole indefensión, pues no había podido efectuar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Sala de lo Civil del Tribunal Supremo, por sentencia de 23 de noviembre de 2017, desestimó el recurso. Para alcanzar este fallo razonó, en primer lugar, que la petición de cambio de orden de los apellidos formulada en el acto de la vista del juicio de instancia “más que extemporánea fue sorpresiva”, pues se formuló en contra de lo ya instado en la demanda y sin motivar cuál fuera la circunstancia que aconsejaba el cambio. En segundo término, que resultaba directamente aplicable al caso la doctrina del tribunal expuesta de la STC 242/2015, de 30 de noviembre, relativa al efecto preclusivo de la demanda y su contestación en la configuración de la litis, que no afecta de forma exclusiva a la primera instancia, sino que se proyecta sobre los demás grados jurisdiccionales de los que conozca ese proceso, incluido el recurso de casación. A continuación imputaba a la sentencia de primera instancia un defecto de falta de motivación respecto a la decisión de permanencia como primer apellido de la menor del de la madre. Finalmente, entiende que no había sido vulnerado el interés superior del menor que invoca la recurrente, pues no procedía su examen al haber existido acuerdo entre las partes respecto al orden de los apellidos que la menor debía portar en caso de declararse su filiación paterna. Acuerdo que se desprende de la demanda y de la contestación y que la prevalencia del referido interés de la menor solo se suscitó en el recurso de casación, con clara indefensión para la parte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vulneraciones constitucionales denunciadas por doña E.N.C. en la demanda de amparo se articulan en cuatro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se dedica a la vulneración del derecho a la tutela judicial efectiva por falta de motivación reforzada (arts. 24.1 y 39.4 CE), al limitarse el Tribunal Supremo a valorar la extemporaneidad de la solicitud de permanencia del apellido materno como primero de la hija común y la indefensión que se aduce por el recurrido, sin valorar el interés superior del menor, de conformidad con la STC 16/2016, de 1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se centra en el quebrantamiento del derecho a la tutela judicial efectiva en relación con el derecho a una resolución judicial razonada y fundada en Derecho (art. 24.1 CE), abundando en la necesidad de flexibilización del principio de preclusión en los procesos de familia en los que está en juego el interés superior del menor. En tal sentido, entiende la demandante de amparo que el propio juzgado puede adoptar de oficio la medida de no alteración de los apellidos de la menor si con ello se protege su interés (SSTC 75/2005, de 4 de abril, y 58/2008, de 28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tercera vulneración se ciñe a la transgresión del derecho a la tutela judicial efectiva (art. 24.1 CE), en su vertiente de derecho a obtener una resolución judicial motivada, no incursa en irrazonabilidad o arbitrariedad. Entiende la actora que la sentencia impugnada adolece de tal defecto, al haber obviado la doctrina avalada por este tribunal y por el Tribunal Supremo relativa a la exclusión de la preclusión procesal en procedimientos de familia, realizando pues una interpretación incorrecta del derecho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en el cuarto apartado se invoca la infracción del derecho fundamental a la propia imagen de la menor (art. 18.1 CE), en el que se integra el derecho al nombre, subrayando que la menor es conocida con el apellido materno en todos los ámbitos de su vida y su alteración injustificada lesiona tal derecho fundamental tan íntimamente unido a la dignidad de la persona (art. 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acordó, mediante providencia de 25 de marzo de 2019, la admisión a trámite de la demanda de amparo, toda vez que el recurso pudiera dar ocasión al tribunal para aclarar o cambiar su doctrina, como consecuencia del surgimiento de nuevas realidades sociales. En cumplimiento de lo dispuesto en el art. 51 de la Ley Orgánica del Tribunal Constitucional (LOTC), se interesó a la Sala de lo Civil del Tribunal Supremo, a la Sección Vigesimocuarta de la Audiencia Provincial de Madrid y al Juzgado de Primera Instancia núm. 7 de Móstoles la remisión de las correspondientes certificaciones o copias adveradas de las actuaciones; instando al juzgado de primera instancia a que emplazara a quienes hubieran sido parte en el procedimiento, con excepción de la parte demandante, al objeto de que comparecieran, si así lo deseaban,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auto de 3 de junio de 2019, desestimó la solicitud de suspensión de la ejecución interesada por la recurrente, toda vez que el acto impugnado, la inscripción en el registro del cambio de los apellidos, ya había sido ejecutado plenamente con fecha de 12 de enero de 2018 y su suspensión supondría un otorgamiento anticipado del amparo, contraria a la doctrina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día 9 de septiembre de 2019, don J.C.F.S, se personó en el proceso de amparo, solicitando que se entendieran con él las actuaciones sucesivas.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30 de septiembre de 2019, se acordó tener por personado y parte en el procedimiento a don J.C.F.S. Asimismo, conforme al art. 52.1 LOTC, se decidió dar vista de las actuaciones recibidas a las partes personadas y al Ministerio Fiscal para que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doña E.N.C. formuló sus alegaciones por escrito presentado el 4 de noviembre de 2019, remitiéndose a lo expresado en la demanda de amparo y reiterando la necesidad de que este tribunal aclare o cambie su doctrina a la vista del surgimiento de nuevas realidades sociales, así como que se tenga en cuenta la negativa de la Sala de lo Civil del Tribunal Supremo de acatar la doctrina constitucional respecto del principio de preclusión de los actos procesales en aquellos procesos en los que están concernidos los derechos e intereses de los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5 de noviembre de 2019, don J.C.F.S. expuso sus alegaciones solicitando la desestimación del recurso de amparo, por considerar que no se habían producido las vulneraciones de los derechos fundamentales aducidas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alegación previa, don J.C.F.S. destaca la falta de mención por el recurrente de determinadas circunstancias acaecidas en esta causa, como el hecho de que la rectificación de la petición relativa al orden de los apellidos fuera llevada a cabo de modo extemporáneo y sin ofrecer ninguna explicación al respecto, causando con ello indefensión a esta parte. También pone de relieve la falta de motivación de la sentencia dictada por el juzgado de primera instancia acerca de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responde a los motivos esgrimidos por doña E.N.C. en su demanda de amparo negando, en primer lugar, la vulneración del art. 24.1 CE en relación con el art. 39.4 CE, dado que no existió denuncia ni debate alguno acerca de los derechos cuya violación se invoca. Por esta razón es obvio que el Tribunal Supremo no podía valorar la situación de la hija común, como tampoco se dio a lo largo del procedimiento circunstancia sobrevenida alguna que requiriera contestación. En segundo término, se aduce que no concurre ningún motivo para que el tribunal actúe de oficio, siendo el orden de los apellidos existente en la actualidad el previsto legalmente, además de ser totalmente incierto que la menor sea conocida en su entorno con el apellido de la madre. Por último, se alega que algunos argumentos del Ministerio Fiscal son erróneos, pues don J.C.F.S. no se ha opuesto a la demanda de paternidad, participa activamente en la vida de su hija, amén de que en su círculo más estrecho se la conoce por el apellido paterno.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formuló sus alegaciones por escrito presentado ante este tribunal en fecha de 12 de noviembre de 2019. Se manifiesta favorable al otorgamiento del amparo solicitado al entender vulnerado el derecho de la demandante a la tutela judicial efectiva sin indefensión del art. 24.1 CE, en relación con los arts. 18.1 y 39.4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el fiscal delimita el objeto del amparo solicitado, enuncia los fundamentos legales y doctrinales del principio de preclusión, del concepto de interés superior del menor y del derecho al nombre como contenido del derecho fundamental a la propia imagen (art. 18.1 CE), así como del orden de los apellidos en caso de determinación de la filiación paterna y materna, fijando su posición respecto a las quejas formuladas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público considera que tanto la sentencia de la Audiencia Provincial, como la dictada por la Sala de lo Civil del Tribunal Supremo deben considerarse lesivas desde la perspectiva constitucional, dada su absoluta ausencia de ponderación del interés superior de la menor respecto al orden de sus apellidos, apartándose, por lo demás, de la doctrina relativa a la exclusión de la preclusión de los actos procesales cuando está afectado ese interés, así como de doctrina aplicable a la interpretación de la Ley del registro civil, su reglamento y el Código civil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fiscal que al presente asunto debe aplicársele la exclusión de la preclusión, toda vez que el debate se centra en el orden de los apellidos de un menor. Recuerda que el apellido es un elemento constitutivo de la identidad de la persona y de su vida privada, amparado por el art. 7 de la Carta de los derechos fundamentales de la Unión Europea y el art. 8 del Convenio europeo para la protección de los derechos humanos y de las libertades fundamentales, y forma parte del derecho fundamental a la propia imagen (art. 18.1 CE), siendo, por lo demás, el interés superior del menor un principio de orden público que debe presidir cualquier decisión que le afecte.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interpretación de las normas reguladoras de esta materia, afirma que los órganos judiciales que han intervenido en la causa se han alejado de la doctrina constitucional, según la cual en los supuestos de determinación judicial de la paternidad está concernido el derecho del menor a su nombre, especialmente en aquellos casos en los que ha transcurrido un prolongado periodo durante el que ha portado el apellido materno (STC 167/2013, de 7 de octubre, FJ 7). Para el fiscal, en la resolución recurrida también se ha incumplido la doctrina emanada del propio Tribunal Supremo relativa a la necesidad de favorecer una interpretación integradora de la normativa, subrayando, finalmente, que el deber de motivar los beneficios que para el menor se producen con la adopción de una determinada medida solo opera en el supuesto de cambio de apellidos, pero en ningún caso cuando lo que se pretende es el mantenimiento de los que ostenta, de modo que si no se acredita un beneficio para el menor con el cambio de apellidos, no existe razón para alterar aquellos con los que viene siendo identificado (SSTC 659/2016 de 10 de noviembre FJ 3; 299/2017 de 16 de mayo, FJ 3; 20/2018 de 17 de enero, FJ 3; 130/2018 de 7 de marzo, FJ 3, y 266/2018 de 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interesa el otorgamiento del amparo, reconociéndose vulnerado el derecho de la recurrente a la tutela judicial efectiva sin indefensión (art. 24.1 CE), en relación con los arts. 18.1 y 39 CE y declarándose, en consecuencia, la nulidad de la sentencia del Tribunal Supremo de 23 de noviembre de 2017 y de la sentencia de 3 de junio de 2015, de la Sección Vigesimocuarta de la Audiencia Provincial de Madrid, dejando subsistente la del Juzgado de Primera Instancia núm. 7 de Móstoles ,de 9 de febrero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diciembre de 2020,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se dirige contra la resolución judicial que aparece reflejada en el encabezamiento de la presente sentencia, por vulneración del derecho a la tutela judicial efectiva (art. 24.1 CE), en su vertiente relativa al deber de motivación, en relación con el principio de protección integral de los hijos (art. 39.4 CE) y con el derecho fundamental a la propia imagen (art. 18.1 CE). Se alega que la Sala de lo Civil del Tribunal Supremo se ha limitado a valorar la extemporaneidad de la solicitud del cambio de apellidos de la menor cuya filiación paterna fue declarada judicialmente, sin prestar atención alguna a su mayor interés y a la doctrina constitucional relativa a la exclusión de la preclusión de los actos procesales en aras de ese interés y en el marco de esta clase de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don J.C.F.S. interesa la denegación del amparo, alegando el carácter extemporáneo de la pretensión de permanencia del apellido materno como primero de los de la hija común, así como la falta de motivación de la sentencia dictada por el juzgado de primera instancia que en tal orden fijó los apellidos. Añade que a lo largo del procedimiento no ha existido denuncia ni debate alguno acerca de los derechos fundamentales cuya vulneración ahora se invoca y que el actual orden de los apellidos de la menor es acorde con la legalidad, siendo, por otro lado, totalmente incierto que se opusiera a la demanda de paternidad o que la menor sea conocida en su entorno habitual con el apellido de la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en los términos que se han reproducido en los antecedentes de esta resolución, que se dicte sentencia estimando el recurso de amparo por vulneración del derecho de la recurrente a la tutela judicial efectiva sin indefensión (art. 24.1 CE), en relación con el derecho fundamental a la propia imagen (art. 18.1 CE) y al principio constitucional de protección integral de los menores (art. 39.4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fiscalía que, desde la perspectiva constitucional, tanto la sentencia de la Audiencia Provincial de Madrid, como la dictada por la Sala de lo Civil del Tribunal Supremo son lesivas por la absoluta falta de ponderación del interés superior del menor sobre el orden de sus apellidos, apartándose de la doctrina relativa a la exclusión de la preclusión de los actos procesales cuando está afectado ese interés, así como de la doctrina aplicable a la interpretación de las normas sobre el orden de los apellidos de la Ley del registro civil, de su reglamento y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antes de proseguir con el análisis de las cuestiones formales y sustantivas que se plantean en el presente recurso, conviene realizar una observación respecto de su objeto, pues si bien la demandante formalmente imputa la lesión de los señalados derechos fundamentales a la sentencia de la Sala de lo Civil del Tribunal Supremo de 23 de noviembre de 2017, de acuerdo con la doctrina de este tribunal “cuando se impugna en amparo una resolución judicial confirmatoria de otras, que han sido lógica y cronológicamente presupuesto de aquella, han de entenderse también recurridas las precedentes resoluciones confirmadas”. Por consiguiente, el análisis acerca de una posible vulneración del derecho a la tutela judicial efectiva (art. 24.1 CE) en relación con los arts. 18.1 CE (derecho al nombre) y 39 CE (protección integral de los hijos y de los menores) debe extenderse en este caso a la sentencia de 3 de junio de 2015 dictada por la sección Vigesimocuarta de la Audiencia Provincial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Control de los requisitos de admisión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 carácter previo, pasamos a enjuiciar el óbice de admisibilidad aducido por don J.C.F.S., para después examinar, si procede, las quejas planteadas en la demanda de amparo. Este análisis es factible en el momento procesal en que nos encontramos, pues este tribunal ha declarado repetidamente que los defectos insubsanables de que pudiera estar afectado el recurso de amparo no resultan sanados porque la demanda haya sido inicialmente admitida, de modo que la comprobación de los presupuestos procesales para la viabilidad de la acción puede siempre abordarse en la sentencia, de oficio o a instancia de parte, pudiendo dar lugar a la inadmisión por falta de tales presupuestos, sin que sea obstáculo el carácter tasado de los pronunciamientos previstos en el art. 53 de la Ley Orgánica del Tribunal Constitucional (SSTC 7/2007, de 15 de enero, FJ 2; 242/2007, de 10 de diciembre, FJ 2; 43/2008, de 10 de marzo; FJ 2; 28/2011, de 14 de marzo, FJ 3, y 168/2012, de 1 de octubre,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que la demandante de amparo inicialmente solicitó que la menor portara primero el apellido del padre y, sin embargo, en la vista oral alteró su pretensión, solicitando que permaneciera en primer lugar el de la madre, lo que es un planteamiento extemporáneo que ocasionó indefensión a don J.C.F.S., ya que no tuvo oportunidad de realizar las alegaciones oportunas sobre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debemos comenzar constatando que, efectivamente, en el suplico de la demanda de reclamación de la filiación paterna interpuesta por doña E.N.C. se solicitaba, además de la declaración de paternidad de don J.C.F.S., que los apellidos de la menor fueran F.N., esto es, que figurara primero el apellido del padre y después el de la madre. El demandado en su escrito de contestación mostró su conformidad a someterse a la prueba biológica, interesando que de acuerdo con el resultado que arrojara, se dictara sentencia, bien estimatoria, bien desestimatoria de las pretensiones de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en la vista oral, cuando doña E.N.C. propuso que no se alterase el orden de los apellidos de la hija común, de modo que su primer apellido siguiera siendo el de la madre, oponiéndose la parte demandada, al entender que la solicitud era extemporánea. El Juzgado de Primera Instancia núm. 7 de Móstoles, tras reconocer la paternidad biológica del demandado, fijó los apellidos de la menor, y decidió que permaneciera como primero de ellos el de la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extemporaneidad de la pretensión fue, entre otros aspectos, la base del recurso de apelación interpuesto por don J.C.F.S., así como el fundamento de la sentencia dictada por la Sección Vigesimocuarta de la Audiencia Provincial de Madrid, de 3 de junio de 2015, que revocó la dictada en primera instancia y accedió a la solicitud del apelante de que fuera su apellido el que constara en primer lugar. La razón para apoyar dicha solicitud fue la necesidad de aplicar lo dispuesto en el Reglamento del registro civil para el caso de discrepancia de los progenitores en cuanto al orden de los apellidos de los hijos comunes. Contra esta última resolución, la actora planteó recurso de casación, al que se adhirió el Ministerio Fiscal quien, con cita de la doctrina de la Sala de lo Civil del Tribunal Supremo (STS de 17 de febrero de 2015), entendió que el momento procesal en el que se hubiera realizado la petición no es relevante si propicia el interés superior de la menor. Sin embargo, el alto órgano judicial, en su sentencia de 23 de noviembre de 2017, entendió que la petición de permanencia del orden de los apellidos formulada en el acto de la vista del juicio de instancia “más que extemporánea fue sorpresiva”, pues se realizó en contra de lo ya instado en la demanda y sin motivar la circunstancia que aconsejaba el cambio.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conviene comenzar el análisis de esta alegación impeditiva de acceso a la jurisdicción constitucional recordando que, respecto del deber de congruencia y la prohibición de alterar el objeto del proceso o, lo que lo que es lo mismo, incurrir en mutatio libelli, este tribunal se ha pronunciado en diversas ocasiones (SSTC 255/1994, de 26 de septiembre, FJ 3; 5/1995, de 10 de enero, FJ 2; 101/2002, de 6 de mayo, FJ 3; 142/2005, de 6 de junio, FJ 3, y 126/2011, de 18 de julio, FJ 7, entre otras), siendo cierto como pone de manifiesto la resolución de la Sala Primera del Tribunal Supremo ahora impugnada, que hemos advertido que “dicha preclusión no afecta de forma exclusiva y autónoma a la primera instancia, sino que se proyecta sobre los demás grados jurisdiccionales de los que conozca ese proceso, lo que se hace patente en el recurso de apelación, que se configura como una revisio prioris instantiae y no como un novum iudicium. También en el recurso de casación, como ha insistido reiteradamente el Tribunal Supremo, al prohibir el planteamiento en el escrito de interposición, de ‘cuestiones nuevas’ no tratadas en la instancia (últimamente, entre otras, SSTS 170/2015, de 26 de marzo, y 198/2015, de 17 de abril, de la Sala Primera)” (STC 242/2015, de 30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de la Sala de lo Civil de 23 de noviembre de 2017, que ahora analizamos, se cita en varias ocasiones la STC 242/2015, de 30 de noviembre, en apoyo de la decisión de desestimación del recurso de casación, por cuanto la demandante de amparo incurrió en una extemporaneidad prohibida por las reglas procesales. Ahora bien, rectamente entendido, lo que este tribunal declaró fue que pese a la extemporaneidad en la petición del cambio de apellidos (que en aquel caso fue solicitado por el padre demandado), los órganos judiciales habían entrado a valorar la cuestión de fondo y, por consiguiente, había sido salvada la naturaleza subsidiaria del recurso de amparo (FJ 4). Por el contrario, no ocurría lo mismo con la invocación del derecho a la igualdad (art. 14 CE), derivada de la prevalencia del apellido paterno respecto al materno, pues se había planteado la queja por primera vez en el recurso de casación, no habiéndose puesto de manifiesto ni en la instancia, ni en la apelación. En consecuencia, entendimos que esta falta de denuncia de la vulneración del derecho fundamental no solo constituía efectivamente una causa de inadmisión del recurso de casación, sino un obstáculo insubsanable que vedaba a este tribunal entrar a conocer del recurso de amparo [art. 44.1 c) LOTC], so pena de impedir que los jueces y tribunales pudieran cumplir su función tuitiva de los derechos fundamentales y libertades públicas, y remediar por sí mismos su posible violación (FJ 6). En el supuesto que ahora se analiza, el derecho al nombre de la menor ha sido invocado desde la primera instancia y, por consiguiente, queda salvada la subsidiariedad de nuestro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necesario subrayar ahora que este tribunal desde sus inicios ya se ha pronunciado sobre la influencia del efecto preclusivo de las actuaciones procesales en los procesos de familia. Así, en la STC 120/1984, de 10 de diciembre, se declaró que en este tipo de litigios y aunque la parte demandante no haya suscitado alguno de los problemas relacionados con el asunto principal, no por ello el juez debe verse obligado a silenciarlo en su sentencia o a considerar como una reconversión de la petición formulada. A tal propósito se subrayó que “[n]o es ocioso traer a colación aquí alguna somera reflexión en orden al carácter de todo proceso matrimonial, en el que se dan elementos no dispositivos, sino de ius cogens, precisamente por derivar y ser un instrumento al servicio del Derecho de familia. No se puede transitar por él y ampararse en sus peculiaridades para olvidarse de ellas a la hora de los efectos de la sentencia que ponga fin a la relación conyugal, apelando entonces a los principios dispositivo y rogatorio del proceso civil español. No podemos menos de compartir, o por lo menos de considerar como jurídicamente fundadas, las razones contenidas en el considerando tercero de la sentencia de primera instancia a propósito de la importancia de las consecuencias económicas ‘de toda acción de divorcio’, y en los considerandos tercero, cuarto y quinto de la sentencia de apelación ahora impugnada, donde en particular se afirma que ‘la incongruencia no significa conformidad rígida y literal con los pedimentos expresados en los suplicos de los escritos’, y también que ‘tales derechos (los regulados en los arts. 97 y 98 del Código civil) son conjuntos y simultáneos a la declaración judicial de la disolución del vínculo’”.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esta doctrina, y teniendo en cuenta que los apellidos que debe ostentar la menor es una cuestión que, como ha podido comprobarse, ha estado presente a lo largo del debate trabado entre las partes, tratándose por lo demás de una materia de orden público necesariamente conectada a cualquier acción de filiación respecto de la cual no pueden disponer las partes, carece de todo fundamento la supuesta mutatio libelli, pues en modo alguno puede entenderse constitutivo de una nueva y extemporánea pretensión que formuló la demandante de amparo en el proceso, sino todo lo más, como bien ha expresado la Sala Primera del Tribunal Supremo “una pretensión sorpresiva, pero no extemporánea”. Así, siguiendo la doctrina constitucional antes citada, se debe afirmar, como se hizo en aquellas sentencias, que nada autoriza a pensar que en la sentencia de primera instancia se ha dado la “desviación” necesaria para concluir que estamos en un supuesto indiscutible de alteración de la causa de pedir que haya generado indefensión al demandado, pues en la vista del juicio oral manifestó su oposición a la pretensión de la madre y en fase de apelación introdujo la denuncia de la incongruencia y bajo esta perspectiva se analizó la sentencia apelada y razonó la audiencia su fallo. Fallo que, al anular la resolución de la primera sentencia, benefició al apelante en lo relativo al cambio de apellidos de la hija menor común, y fallo, por tanto, que no ha resuelto nada que no hubiera sido planteado en una y otra instancia. El demandado tuvo acceso a la jurisdicción en todas las vías que el ordenamiento le ofrece; defendió en ellas sus derechos e intereses, y obtuvo sentencias ajustadas a lo pedido y debatido.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por lo demás, hemos de añadir otra observación. En los procesos sobre capacidad, filiación, matrimonio y menores, con arreglo a lo establecido en los arts. 748 y ss. de la Ley de enjuiciamiento civil (LEC), el órgano judicial tiene que adoptar, imperativamente, a falta de acuerdo entre las partes, las medidas concernientes a los hijos (art. 39 CE). Por ello, es obvio que el principio de tutela del interés de los menores e integral de los hijos que ha inspirar cualquier decisión al respecto resulta incompatible con la rigidez procesal que impone la perpetuatio iurisdictionis (art. 412 LEC). De ahí que, como adecuadamente viene reconociendo la jurisdicción ordinaria, el legislador procesal establezca que estos procesos se resuelvan con arreglo a los hechos que hayan sido objeto de debate y resulten probados, con independencia del momento en que hayan sido alegados o introducidos de otra manera en el procedimiento. Y si bien este precepto se refiere a hechos y no a pretensiones, como se ha puesto de manifiesto en numerosas resoluciones judiciales, abocaría a una inútil paradoja procesal que las pretensiones iniciales, en el ámbito especial de las medidas sometidas al ius cogens, no pudiesen acomodarse a las necesidades del menor que se pongan de manifiesto durante la sustanciación del procedimiento de filiación, de suerte que en los procesos de familia o en los que hayan de adoptarse medidas en beneficio de menores de edad, el juez puede apartarse de las peticiones de las partes o acordar de oficio las que estime adecuadas, lo cual debe permitir, a su vez, que las partes reformulen sus peticiones buscando ese mismo interés, respetando las exigencias del derecho de defensa y la posibilidad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este es, a juicio de este tribunal, coincidente con el de la demandante de amparo y con el del Ministerio Fiscal, el único criterio que ciertamente responde a una efectiva e integral tutela de los hijos menores de edad, a la que están llamados todos los poderes públicos en virtud de lo dispuesto en el art. 39 CE. Dicha protección debe regirse en todo caso por la prevalencia del interés del menor que debe inspirar cuanta actuación pueda concernirle, por tratarse de una materia de orden público sustraída al principio dispositivo y rogatorio que preside la legislación procesal. Dicho de otro modo, dada la importancia de los intereses de orden personal y familiar de los menores, de los padres biológicos y de los restantes afectados, se debe aplicar un menor rigor formal en este tipo de procesos, que no se configuran como un simple conflicto entre pretensiones privadas, sino que amplían ex lege las facultades del juez en garantía del interés de los menores que han de ser tutelados (STC 58/2008, de 28 de abril, FJ 2). Por tales motivos este tribunal ha venido aceptando la legitimidad constitucional de la exclusión del principio de la preclusión de los actos procesales según el cual la clausura de una fase o plazo procesal impide replantear lo ya decidido en ella (SSTC 75/2005, de 4 de abril; 58/2008, de 28 de abril, y 65/2016, de 11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se debe señalar que en cualquier procedimiento de familia en el que se examinen cuestiones que afecten a bienes o derechos de los menores, sometidos a la tutela del orden público, ha de considerarse tempestivo u oportuno que el juez o el tribunal de oficio pueda adoptar las decisiones y medidas que estime ajustadas a los intereses tutelados, aunque no formen parte de las pretensiones deducidas en los escritos rectores del procedimiento o sean contrarias a las mismas y sin sujeción al principio de perpetuación de la jurisdicción. Porque al tratarse de una cuestión de orden público, no deben prevalecer las pretensiones de los progenitores, sino exclusivamente el real beneficio del hijo menor. También guiados por este principio, los órganos judiciales deben pronunciarse razonadamente sobre todos aquellos aspectos que puedan afectar al desarrollo de su personalidad (art. 10 CE) y al ejercicio de sus derechos. En efecto, debe repararse en que en el presente asunto, el objeto del debate debió ser en realidad el relativo al derecho al nombre (que se integra ex art. 18.1 CE en el más amplio derecho fundamental a la propia imagen) y el derecho a la motivación de las resoluciones judiciales (art. 24.1 CE), pues al fin y al cabo mediante la solicitud de la imposición de los apellidos, los progenitores no están ejerciendo un derecho propio, sino un derecho del propio menor y, por consiguiente, deben ser los órganos judiciales los que se pronuncien ponderadamente sobre el orden de los mismos cuando hay conflicto, independientemente de cuáles sean los deseos de las partes enfrentadas y del momento procesal en los que los hayan manifestado. Sobre este particular, basta ahora con remitirse a nuestras SSTC 117/1994, de 25 de abril, y 167/2013, de 7 de octubre, en las que expusimos con detalle la perspectiva constitucional relativa al derecho al nombre y su necesidad de especial protección tratándose de los menores de edad, dado que es un elemento constitutivo de su dignidad y personalidad (art. 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puede prosperar el óbice de extemporaneidad alegado por don J.C.F.S., debiendo este tribunal consecuentemente examinar la invocada vulneración del derecho a la tutela judicial efectiva (art. 24.1 CE), respecto a la carencia de motivación reforzada de las sentencias impugnadas sobre el cambio en el orden de los apellidos de la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interés superior del menor como principio constitucional y canon de motivación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muy numerosos ya los pronunciamientos en los que este tribunal ha insistido en la necesidad de que todos los poderes públicos cumplan el mandato dirigido a ellos en el art. 39 CE y atiendan de un modo preferente la situación del menor de edad, observando y haciendo observar el estatuto del menor como norma de orden público (STC 141/2000, FJ 5). Deben procurarlo, incluso si ello significa atemperar la rigidez de algunas normas procesales o sacrificar los legítimos intereses y perspectivas de terceros (SSTC 187/1996, de 25 de noviembre, FJ 2, y 77/2018, de 5 de julio, FJ 2). Hemos advertido en todas aquellas ocasiones en las que se nos ha planteado una posible lesión del derecho fundamental de un menor, que su interés superior “inherente a algunas de las previsiones del art. 39 CE es, considerado en abstracto, un bien constitucional suficientemente relevante para motivar la adopción de medidas legales que restrinjan derechos y principios constitucionales” (STC 99/2019, de 18 de julio, FJ 7). En la STC 64/2019, de 9 de mayo, FJ 4, se subraya que “[e]l interés superior del menor es la consideración primordial a la que deben atender todas las medidas concernientes a los menores ‘que tomen las instituciones públicas o privadas de bienestar social, los tribunales, las autoridades administrativas o los órganos legislativos’, según el art. 3.1 de la Convención sobre los derechos del niño ratificada por España mediante instrumento de 30 de noviembre de 1990. Como detalla la observación general núm. 14, de 29 de mayo de 2013, del Comité de Naciones Unidas de Derechos del Niño, el citado precepto enuncia uno de los cuatro principios generales de la Convención en lo que respecta a la interpretación y aplicación de todos los derechos del niño, a aplicar como un concepto dinámico que debe evaluarse adecuadamente en cada contexto. Es uno de sus valores fundamentales, y responde al objetivo de garantizar el disfrute pleno y efectivo de todos los derechos reconocidos por la Convención. Añade que no hay jerarquía de derechos en la Convención: todos responden al ‘interés superior del niño’ y ningún derecho debería verse perjudicado por una interpretación negativa del interés superior del menor. [...] En caso de que no puedan respetarse todos los intereses legítimos concurrentes, deberá primar el interés superior del menor sobre cualquier otro interés legítimo que pudiera concurrir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para valorar qué es lo que resulta más beneficioso para el menor, ha de atenderse especialmente a las circunstancias concretas del caso, pues no hay dos supuestos iguales, ni puede establecerse un criterio apriorístico sobre cuál sea su mayor beneficio. Por lo demás, casi huelga advertir que no es este tribunal “un cauce destinado para asegurar el acierto judicial en la interpretación y aplicación de la legalidad ordinaria, o en la valoración de los hechos que las partes en litigio someten a su conocimiento y examen, pues, a salvo la manifiesta y grosera irrazonabilidad, arbitrariedad o yerro de la resolución judicial impugnada, esa interpretación y valoración es competencia de la jurisdicción ordinaria, a la que la Ley ha atribuido también en exclusiva la ponderación de cuál sea el interés superior del menor en cada caso, [...]. Una interpretación y ponderación de intereses que este tribunal difícilmente podrá revisar, no solo por su lejanía y falta de inmediatez respecto de las circunstancias del caso, que le vienen dadas como hechos que no puede revisar, sino también por no ser su función la propia de una tercera instancia llamada a revisar lo decidido por los órganos judiciales ordinarios (SSTC 198/2000, 203/2000, y 256/2000; AATC 141/2000, 234/2000, 237/2000, y 28/2001, de 1 de febrero, FJ 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cuál sea en cada caso el interés superior del menor corresponde tomarla a los jueces y tribunales ordinarios, aunque es de nuestra incumbencia examinar si la motivación ofrecida por los mismos para adoptar cuantas medidas conciernen a los menores, está sustentada en su mayor beneficio y así comprobar que no se han lesionado sus derechos fundamentales (STC 221/2002, FJ 4, y ATC 28/2001, de 1 de febrero). Porque, una vez más hemos de subrayar que “el canon de razonabilidad constitucional deviene más exigente por cuanto que se encuentran implicados valores y principios de indudable relevancia constitucional, al invocarse por el demandante de amparo el principio del interés superior del menor que tiene su proyección constitucional en el art. 39 CE y que se define como rector e inspirador de todas las actuaciones de los poderes públicos, tanto administrativas como judiciales” ( SSTC 141/2000, de 29 de mayo, FJ 5; 217/2009, de 14 de diciembre, FJ 5; 127/2013, de 3 de junio, FJ 6, y 138/2014, de 8 de septiembre,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en estos momentos, nuestra función debe limitarse únicamente a verificar si tanto la decisión de la Audiencia Provincial de Madrid de revocar la sentencia que dictó el juzgado de primera instancia como consecuencia de la apreciación de una pretendida extemporaneidad, como la resolución de la Sala Civil del Tribunal Supremo que confirma la anterior, están debidamente justificadas en orden a salvaguardar dicho interés prevalente. En relación con ello, debemos señalar que justificar debidamente las resoluciones en las que están concernidos los intereses y derechos de los menores (art. 39 CE), significa explicitar el juicio de ponderación entre los valores y derechos en liza para hacer así efectiva la exigencia de proporcionalidad inherente a la justicia, como es también jurisprudencia constitucional (STC 71/2004, de 19 de abril, FJ 5), pues no olvidemos que cuando el derecho a la tutela judicial efectiva afecta a la esfera personal y familiar de un menor, como sucede en el caso que se nos presenta, el canon de motivación es un canon especialmente reforzado.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enjuiciado, como ya se ha expuesto, la Sala de lo Civil del Tribunal Supremo imputó a la resolución del Juzgado de Primera Instancia núm. 7 de Móstoles la ausencia de motivación respecto a la fijación de los apellidos de la menor. Concretamente afirma que “[l]a sentencia de primera instancia estimó la demanda y, sin motivación alguna decidió en la parte dispositiva de aquella que los apellidos de la misma fuesen N.F.” y que “[l]a sentencia de primera instancia, con patente vulneración de la obligación de motivar las decisiones judiciales, ordenó en la parte expositiva que el primer apellido de la menor fuese el de la madre, sin expresar los fundamentos de su decisión en el cuerpo de la sentencia”. Más adelante se afirma que el desacuerdo fue extemporáneo, al cambiar la actora su pretensión en la vista del juicio, y que, por tanto, el interés del menor no ha podido ser vulnerado, por cuanto solo cabría su examen por el encargado del Registro Civil o por la sentencia en defecto de acuerdo de los progenitores. “Sin embargo [añade la sentencia de la Sala Primera del alto Tribunal], se ha de tener en cuenta que ni en la primera instancia, ni en el recurso de apelación se ha sometido a debate y contradicción ni la violación del principio de igualdad, ni las circunstancias que justificasen en interés del menor el mantenimiento del primer apellido con el que fue inscrito, con lo que tal interés se encontraría implícito en el acuerdo de los escritos rectores del procedimiento. Se plantean tales cuestiones por primera vez en el recurso de casación, con evidente indefensión para la parte recurrida, indefensión que ya alegó al interponer recurso de apelación contra la sentencia de primera instancia. Podría plantearse, pero no se hace, la posibilidad de revocar el acuerdo inicial por sobrevenir una circunstancia que, en interés del menor, lo justificase. Por tanto, tampoco cabe examinar el interés del menor a tal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 este tribunal, la cuestión que debía resolverse en este supuesto, y repetimos que debió analizarse como cuestión de fondo porque en este caso no regía el principio preclusivo, no era tanto si el cambio de apellidos era perjudicial para la hija común, como si, partiendo de que ostentaba como primero desde su nacimiento el apellido de la madre, le era beneficiosa una alteración de este orden. Sobre este particular, hemos de señalar que la sentencia de apelación no motivó su decisión conforme a los cánones establecidos para estos casos, pues se limitó a aplicar el art. 194 del Reglamento de la Ley del registro civil que dispone que cuando existe desacuerdo entre los progenitores, debe imponerse el apellido paterno como primero y el materno como segundo, sin ponderar las circunstancias concretas del caso sometido a su enjuiciamiento, ni explicar cuál fuera el beneficio que la alteración de los apellidos le otorgaba a la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este tribunal, en este caso, al igual que en la STC 167/2013, de 7 de octubre, FJ 7, debían haberse tomado en consideración todas las circunstancias que concurren, debiendo justificar razonadamente el órgano judicial de apelación el beneficio que para la menor suponía la alteración de sus apellidos respecto a la situación jurídica y de hecho de la que ya gozaba.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concierne a la resolución dictada por la Sala de lo Civil del Tribunal Supremo, de fecha de 23 de noviembre de 2017, impugnada en este recurso, debe reiterarse lo expresado en el fundamento jurídico anterior. Es decir, que el principio del interés superior del menor debe inspirar y regir toda la actuación jurisdiccional que se desarrolla en los procesos de familia y que, por la prevalencia de este principio constitucional de tuición sobre las normas procesales, la tramitación de dichos procesos debe estar presidida por un criterio de flexibilidad procedimental (STC 65/2016, de 11 de abril), quedando ampliadas la facultades del juez en garantía del interés que ha de ser tutelado (STC 4/2001, de 15 de enero, FJ 4). Ello significa que, dada la extraordinaria importancia que reviste la materia, se debe ofrecer una amplia ocasión para realizar alegaciones a quienes ostentan intereses legítimos en la decisión a tomar, así como para aportar documentos y todo tipo de justificaciones atendiendo a un menor rigor formal y a la exclusión de la preclusión, porque lo trascendental en ellos es su resultado (STC 187/1996, de 25 de noviembre, FJ 2). En las SSTC 217/2009, de 14 de diciembre, FJ 5, y 65/2016, de 11 de abril, FJ 7, ya tuvimos ocasión de señalar que ,en el contexto de los procesos de familia, “resultaría de aplicación el canon reforzado de la tutela judicial efectiva que este tribunal utiliza cuando la cuestión de fondo sobre la que se proyecta la tutela se conecta con otros derechos fundamentales del recurrente (por todas STC 292/2005, de 10 de noviembre, FJ 3, dictada por el Pleno de este tribunal, y STC 93/2006, de 27 de marzo, FJ 3) […] En consecuencia, en el caso de autos la decisión sobre la admisión o no del incidente no puede soslayar el interés superior del menor, que reclama, en la medida en que sea legalmente posible, y tan pronto como sea legalmente posible, pues el paso del tiempo es pernicioso, preservar la seguridad jurídica y estabilidad de la menor, esto es, proporcionar una resolución judicial motivada que permita saber con certeza su situación de acogimiento”. Dicho de otro modo, en atención al papel que tiene encomendado el principio constitucionalmente impuesto a todos los poderes públicos de proveer a la protección del menor, no cabe duda de que su aplicación prima sobre la de cualquier norma procesal relativa a una posible preclusión o extemporaneidad de las pretensiones. Por ello, la Sala de lo Civil del Tribunal Supremo debió prescindir del óbice procesal observado y conocer del fondo del asunto planteado para determinar si la resolución que había sido recurrida había observado dicho principio y razonado conforme al mismo los motivos de la decisión de alterar los apellidos de la menor. En atención a ello, hemos de concluir que la ausencia de un análisis razonado ex art. 39.4 CE sobre el fondo de la cuestión suscitada en torno a los apellidos que debía ostentar la menor tras la determinación de su filiación paterna, lesionó el derecho a la tutela judicial efectiva (art. 24.1 CE), de la recurrente en amparo, que actúa en representación de su hija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hemos de afirmar que desde la perspectiva constitucional, en las resoluciones impugnadas en este recurso de amparo debió resolverse la cuestión de fondo planteada relativa al orden de los apellidos de la menor y ponderarse especialmente su mayor beneficio, teniendo en cuenta que el derecho al nombre integra su personalidad. Por todo ello, este tribunal no puede más que concluir reconociendo la vulneración del contenido constitucional del art. 18.1 CE, invocado por la parte recurrente, debiendo otorgar el amparo con los efectos prevenidos en el art. 55 LOTC, anulando las sentencias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visto el tiempo transcurrido desde que se inició el procedimiento de determinación de la filiación paterna, puede que resulte necesaria la práctica de alguna diligencia complementaria para valorar adecuadamente cuál sea la decisión más beneficiosa para la menor en orden a la fijación de sus apellidos. En consecuencia, este tribunal entiende necesario retrotraer las actuaciones al momento inmediatamente anterior al dictado de la sentencia de la Sección Vigesimocuarta de la Audiencia Provincial de Madrid, de 3 de junio de 2015 (rollo de apelación núm.1061-2014), para que, si el órgano judicial así lo estima, obtenga y verifique toda la información que resulte precisa para asegurarse de que la decisión que acuerde respecto al mantenimiento o alteración de los apellidos resulte beneficiosa para la menor, cuyos intereses son prevalentes.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promovido por doña E.N.C.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(art. 24.1 CE), en relación con el derecho a la propia imagen (art. 18.1 CE) y a la protección integral de los hijos (art. 39.4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sus derechos y, en consecuencia anular la sentencia de la Sección Vigesimocuarta de la Audiencia Provincial de Madrid, de 3 de junio de 2015 (rollo de apelación núm.1061-2014) y la sentencia de 23 de noviembre de 2017, dictada por la Sala de lo Civil del Tribunal Supremo, en el recurso de casación núm. 2211-2016.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para que el órgano judicial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