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693-2020,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febrero de 2020,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4 de Lorca en el procedimiento de ejecución hipotecaria núm. 359-2018 en fechas 14 de noviembre y 12 de diciembre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359-2018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25 de junio de 2018 se notificó y requirió a través de la sede judicial electrónica a ambas ejecutadas, y en fecha 1 de agosto de 2019 se presentó por Penrei Inversiones, S.L., oposición a la ejecución hipotecaria. Por auto de 14 de noviembre de 2018 se acordó su inadmisión por presentación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sociedad mercantil recurrente interpuso recurso de reposición contra el auto de inadmisión que fue desestimado por auto de 12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común de las administraciones públicas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2020 la Sección Primera de este tribunal acordó admitir a trámite el recurso de amparo y dirigir comunicación al Juzgado de Primera Instancia e Instrucción núm. 4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26 de octubre de 2020, la parte demandante formuló sus alegaciones, reiterando lo dicho en el otrosí de su demanda y trascribiendo parte del ATC 21/2018,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4 de noviembre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18 de noviembre de 2018 presentó sus alegaciones doña María Claudia Munteanu, procuradora de los tribunales, en nombre y representación de Pera Assets Designated Activity Company (cesionaria a título oneroso de determinados créditos hipotecarios de los que era titular Banco de Sabadell, S.A., entre ellos el que grava la finca hipotecada que es objeto del proceso judicial previo). Tras reproducir distintos autos del Tribunal Constitucional en materia de suspensión, señala que no procede la suspensión solicitada ante la vaguedad de la petición formulada, la mala fe procesal mostrada por la recurrente en todos y cada uno de los recursos de amparo presentados ante el Tribunal Constitucional y el no ofrecimiento de un principio razonable de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359-2018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359-2018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