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695-2020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febrero de 2020, la entidad Euroinversiones Inmobiliarias Costa Sur, S.L., representada por la procuradora de los tribunales doña Blanca Berriatua Horta y bajo la dirección del letrado don Marcelino Gilabert García, interpuso recurso de amparo contra los autos de 15 de noviembre de 2018 y de 12 de diciembre de 2019, dictados por el Juzgado de Primera Instancia e Instrucción núm. 4 de Lorca en el proceso de ejecución hipotecaria núm. 369-2018,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369-2018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núm. 43.323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21 de junio de 2018 se acordó despachar ejecución frente las sociedades demandadas por la cantidad de 180 193,46 € de principal y 28 850 €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26 de junio de 2018. En dicha comunicación se informa que la notificación estará disponible hasta el 11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29 de agosto de 2018. Por auto de 15 de noviembre de 2018 se acordó su inadmisión por considerar la pretensión extemporánea, tomando como fecha de notificación el 25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25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además de infringir los arts. 135, 152, 160, y 162 de la Ley de enjuiciamiento civil (LEC), vulnera el art. 24 CE. Tras su tramitación, el recurso de reposición fue desestimado por auto de 12 de diciembre de 2019, en cuyo fundamento jurídico único se dice literalmente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y añade que de los documentos que aporta la recurrente y de sus propias alegaciones “resulta la correcta recepción de la notificación en fecha 26/06/2018, fecha en la que se materializó la `puesta a disposición´ de la notificación correctamente y del propio documento resulta que pasaron más de tres días desde la misma sin que se hubiera accedido al contenido hasta el día 1 de agosto de 2018, por tanto, en aplicación estricta de lo dispuesto en el apartado segundo del art. 162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precluído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común de las administraciones públicas,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Concluye la entidad recurrente afirmando que las resoluciones impugnadas no han dado cumplimiento a las exigencias constitucionales reconocidas para los actos de notificación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auto de 22 de octubre de 2020, la Sección Segunda de este tribunal acordó estimar el recurso de súplica planteado por el Ministerio Fiscal, y admitir a trámite el recurso de amparo, acordando asimismo la formación de la pieza separada para la tramitación del incidente de suspensión, concediendo el plazo común de tres días a la parte recurrente y al Ministerio Fiscal para que aleguen lo que estimen oportuno (art. 56 LOTC). Por diligencia de ordenación de 23 de octubre de 2020, se dirige comunicación al Juzgado de Primera Instancia e Instrucción núm. 4 de Lorca, a fin de que emplazase a quienes hubieran sido parte en el procedimiento de ejecución hipotecaria núm. 369-2018,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el 4 de noviembre 2020, la parte demandante formuló sus alegaciones, reiterando lo dicho en el otrosí de su demanda, solicitando la suspensión de la ejecución del hipotecaria y trascribiendo parte de los AATC 21/2018, de 5 de marzo; 58/2018 de 4 de junio, y 117/2018, de 29 de octubre, que reconocen la posibilidad de suspender la ejecución hipotecaria una vez admitido a trámite el recurso de amparo. Sostiene la mercantil recurrente que de no adoptarse la medida de suspensión y de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10 de noviembre de 2020, interesa que se acuerde la anotación preventiva de la demanda en el registro de la propiedad, aunque esta última medida no haya sido solicitada en el recurso de amparo, descartando la medida de suspensión del procedimiento ejecutivo. Tras exponer la doctrina de este tribunal sobre suspensión de resoluciones y actos impugnados, considera que la aplicación al caso de dicha doctrina nos debe llevar a considerar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369-2018,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123/2020, de 19 de octubre; 110/2020, de 21 de septiembre; 103/2020, de 21 de septiembre; 51/2020, de 15 de junio , y 78/2020 y 81/2020,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369-2018,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